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7C79E" w14:textId="763F8193" w:rsidR="0079333D" w:rsidRPr="00E26457" w:rsidRDefault="0079333D" w:rsidP="00F42CB5">
      <w:pPr>
        <w:pStyle w:val="Namapenulis"/>
        <w:spacing w:after="80" w:line="240" w:lineRule="auto"/>
        <w:rPr>
          <w:rFonts w:cs="Times New Roman"/>
          <w:bCs/>
          <w:noProof/>
          <w:sz w:val="30"/>
          <w:szCs w:val="30"/>
        </w:rPr>
      </w:pPr>
      <w:r w:rsidRPr="00E26457">
        <w:rPr>
          <w:rFonts w:cs="Times New Roman"/>
          <w:bCs/>
          <w:noProof/>
          <w:sz w:val="30"/>
          <w:szCs w:val="30"/>
        </w:rPr>
        <w:t xml:space="preserve">PENGARUH </w:t>
      </w:r>
      <w:r w:rsidRPr="00E26457">
        <w:rPr>
          <w:rFonts w:cs="Times New Roman"/>
          <w:bCs/>
          <w:i/>
          <w:noProof/>
          <w:sz w:val="30"/>
          <w:szCs w:val="30"/>
        </w:rPr>
        <w:t>RETURN ON ASSET</w:t>
      </w:r>
      <w:r w:rsidRPr="00E26457">
        <w:rPr>
          <w:rFonts w:cs="Times New Roman"/>
          <w:bCs/>
          <w:noProof/>
          <w:sz w:val="30"/>
          <w:szCs w:val="30"/>
        </w:rPr>
        <w:t xml:space="preserve"> </w:t>
      </w:r>
      <w:r w:rsidRPr="00E26457">
        <w:rPr>
          <w:rFonts w:cs="Times New Roman"/>
          <w:bCs/>
          <w:i/>
          <w:noProof/>
          <w:sz w:val="30"/>
          <w:szCs w:val="30"/>
        </w:rPr>
        <w:t>(</w:t>
      </w:r>
      <w:r w:rsidR="00EF1C89" w:rsidRPr="00E26457">
        <w:rPr>
          <w:rFonts w:cs="Times New Roman"/>
          <w:bCs/>
          <w:i/>
          <w:noProof/>
          <w:sz w:val="30"/>
          <w:szCs w:val="30"/>
        </w:rPr>
        <w:t>ROA</w:t>
      </w:r>
      <w:r w:rsidRPr="00E26457">
        <w:rPr>
          <w:rFonts w:cs="Times New Roman"/>
          <w:bCs/>
          <w:i/>
          <w:noProof/>
          <w:sz w:val="30"/>
          <w:szCs w:val="30"/>
        </w:rPr>
        <w:t>)</w:t>
      </w:r>
      <w:r w:rsidRPr="00E26457">
        <w:rPr>
          <w:rFonts w:cs="Times New Roman"/>
          <w:bCs/>
          <w:noProof/>
          <w:sz w:val="30"/>
          <w:szCs w:val="30"/>
        </w:rPr>
        <w:t xml:space="preserve">, </w:t>
      </w:r>
      <w:r w:rsidRPr="00E26457">
        <w:rPr>
          <w:rFonts w:cs="Times New Roman"/>
          <w:bCs/>
          <w:i/>
          <w:noProof/>
          <w:sz w:val="30"/>
          <w:szCs w:val="30"/>
        </w:rPr>
        <w:t>EARNING PER SHARE (</w:t>
      </w:r>
      <w:r w:rsidR="00EF1C89" w:rsidRPr="00E26457">
        <w:rPr>
          <w:rFonts w:cs="Times New Roman"/>
          <w:bCs/>
          <w:i/>
          <w:noProof/>
          <w:sz w:val="30"/>
          <w:szCs w:val="30"/>
        </w:rPr>
        <w:t>EPS</w:t>
      </w:r>
      <w:r w:rsidRPr="00E26457">
        <w:rPr>
          <w:rFonts w:cs="Times New Roman"/>
          <w:bCs/>
          <w:i/>
          <w:noProof/>
          <w:sz w:val="30"/>
          <w:szCs w:val="30"/>
        </w:rPr>
        <w:t>)</w:t>
      </w:r>
      <w:r w:rsidRPr="00E26457">
        <w:rPr>
          <w:rFonts w:cs="Times New Roman"/>
          <w:bCs/>
          <w:noProof/>
          <w:sz w:val="30"/>
          <w:szCs w:val="30"/>
        </w:rPr>
        <w:t xml:space="preserve">, </w:t>
      </w:r>
      <w:r w:rsidRPr="00E26457">
        <w:rPr>
          <w:rFonts w:cs="Times New Roman"/>
          <w:bCs/>
          <w:i/>
          <w:noProof/>
          <w:sz w:val="30"/>
          <w:szCs w:val="30"/>
        </w:rPr>
        <w:t>RETURN ON EQUITY  (</w:t>
      </w:r>
      <w:r w:rsidR="00EF1C89" w:rsidRPr="00E26457">
        <w:rPr>
          <w:rFonts w:cs="Times New Roman"/>
          <w:bCs/>
          <w:i/>
          <w:noProof/>
          <w:sz w:val="30"/>
          <w:szCs w:val="30"/>
        </w:rPr>
        <w:t>ROE</w:t>
      </w:r>
      <w:r w:rsidRPr="00E26457">
        <w:rPr>
          <w:rFonts w:cs="Times New Roman"/>
          <w:bCs/>
          <w:i/>
          <w:noProof/>
          <w:sz w:val="30"/>
          <w:szCs w:val="30"/>
        </w:rPr>
        <w:t>)</w:t>
      </w:r>
      <w:r w:rsidRPr="00E26457">
        <w:rPr>
          <w:rFonts w:cs="Times New Roman"/>
          <w:bCs/>
          <w:noProof/>
          <w:sz w:val="30"/>
          <w:szCs w:val="30"/>
        </w:rPr>
        <w:t xml:space="preserve"> DAN </w:t>
      </w:r>
      <w:r w:rsidRPr="00E26457">
        <w:rPr>
          <w:rFonts w:cs="Times New Roman"/>
          <w:bCs/>
          <w:i/>
          <w:noProof/>
          <w:sz w:val="30"/>
          <w:szCs w:val="30"/>
        </w:rPr>
        <w:t>NET PROFIT MARGIN (</w:t>
      </w:r>
      <w:r w:rsidR="00EF1C89" w:rsidRPr="00E26457">
        <w:rPr>
          <w:rFonts w:cs="Times New Roman"/>
          <w:bCs/>
          <w:i/>
          <w:noProof/>
          <w:sz w:val="30"/>
          <w:szCs w:val="30"/>
        </w:rPr>
        <w:t>NPM</w:t>
      </w:r>
      <w:r w:rsidRPr="00E26457">
        <w:rPr>
          <w:rFonts w:cs="Times New Roman"/>
          <w:bCs/>
          <w:i/>
          <w:noProof/>
          <w:sz w:val="30"/>
          <w:szCs w:val="30"/>
        </w:rPr>
        <w:t>)</w:t>
      </w:r>
      <w:r w:rsidRPr="00E26457">
        <w:rPr>
          <w:rFonts w:cs="Times New Roman"/>
          <w:bCs/>
          <w:noProof/>
          <w:sz w:val="30"/>
          <w:szCs w:val="30"/>
        </w:rPr>
        <w:t xml:space="preserve"> TERHADAP HARGA SAHAM PADA PERUSAHAAN SUB SEKTOR MAKANAN DAN MINUMAN YANG TERDAFTAR DI BEI PERIODE TAHUN 2020 – 2023</w:t>
      </w:r>
    </w:p>
    <w:p w14:paraId="73E1DAC7" w14:textId="77777777" w:rsidR="0079333D" w:rsidRPr="00E26457" w:rsidRDefault="0079333D" w:rsidP="00F42CB5">
      <w:pPr>
        <w:pStyle w:val="Namapenulis"/>
        <w:spacing w:after="80" w:line="240" w:lineRule="auto"/>
        <w:rPr>
          <w:rFonts w:cs="Times New Roman"/>
          <w:bCs/>
          <w:noProof/>
          <w:sz w:val="22"/>
          <w:szCs w:val="22"/>
        </w:rPr>
      </w:pPr>
    </w:p>
    <w:p w14:paraId="1BF7C361" w14:textId="1B211D33" w:rsidR="0079333D" w:rsidRPr="00E26457" w:rsidRDefault="0079333D" w:rsidP="00F42CB5">
      <w:pPr>
        <w:spacing w:after="0" w:line="240" w:lineRule="auto"/>
        <w:jc w:val="center"/>
        <w:rPr>
          <w:rFonts w:ascii="Cambria" w:hAnsi="Cambria"/>
          <w:b/>
          <w:bCs/>
          <w:vertAlign w:val="superscript"/>
        </w:rPr>
      </w:pPr>
      <w:r w:rsidRPr="00E26457">
        <w:rPr>
          <w:rFonts w:ascii="Cambria" w:hAnsi="Cambria"/>
          <w:b/>
          <w:bCs/>
        </w:rPr>
        <w:t>Aldi Irwandi</w:t>
      </w:r>
      <w:r w:rsidR="003F32F4" w:rsidRPr="00E26457">
        <w:rPr>
          <w:rFonts w:ascii="Cambria" w:hAnsi="Cambria"/>
          <w:b/>
          <w:bCs/>
          <w:vertAlign w:val="superscript"/>
        </w:rPr>
        <w:t>1</w:t>
      </w:r>
      <w:r w:rsidRPr="00E26457">
        <w:rPr>
          <w:rFonts w:ascii="Cambria" w:hAnsi="Cambria"/>
          <w:b/>
          <w:bCs/>
        </w:rPr>
        <w:t>, Dicky Arisudhana</w:t>
      </w:r>
      <w:r w:rsidR="003F32F4" w:rsidRPr="00E26457">
        <w:rPr>
          <w:rFonts w:ascii="Cambria" w:hAnsi="Cambria"/>
          <w:b/>
          <w:bCs/>
          <w:vertAlign w:val="superscript"/>
        </w:rPr>
        <w:t>2</w:t>
      </w:r>
    </w:p>
    <w:p w14:paraId="0B0F252D" w14:textId="77777777" w:rsidR="0079333D" w:rsidRPr="00E26457" w:rsidRDefault="0079333D" w:rsidP="00F42CB5">
      <w:pPr>
        <w:spacing w:after="0" w:line="240" w:lineRule="auto"/>
        <w:jc w:val="center"/>
        <w:rPr>
          <w:rFonts w:ascii="Cambria" w:hAnsi="Cambria"/>
        </w:rPr>
      </w:pPr>
      <w:r w:rsidRPr="00E26457">
        <w:rPr>
          <w:rFonts w:ascii="Cambria" w:hAnsi="Cambria"/>
        </w:rPr>
        <w:t>Universitas Budi Luhur Jakarta, Indonesia</w:t>
      </w:r>
    </w:p>
    <w:p w14:paraId="4973009D" w14:textId="47EAB43A" w:rsidR="003F32F4" w:rsidRPr="00E26457" w:rsidRDefault="00E26457" w:rsidP="00F42CB5">
      <w:pPr>
        <w:spacing w:after="0" w:line="240" w:lineRule="auto"/>
        <w:jc w:val="center"/>
        <w:rPr>
          <w:rFonts w:ascii="Cambria" w:hAnsi="Cambria"/>
          <w:color w:val="4472C4"/>
        </w:rPr>
      </w:pPr>
      <w:bookmarkStart w:id="0" w:name="_Hlk176060529"/>
      <w:r>
        <w:rPr>
          <w:rFonts w:ascii="Cambria" w:hAnsi="Cambria"/>
        </w:rPr>
        <w:t xml:space="preserve">Surel : </w:t>
      </w:r>
      <w:hyperlink r:id="rId8" w:history="1">
        <w:r w:rsidR="003F32F4" w:rsidRPr="00E26457">
          <w:rPr>
            <w:rStyle w:val="Hyperlink"/>
            <w:rFonts w:ascii="Cambria" w:hAnsi="Cambria"/>
          </w:rPr>
          <w:t>2032520104@student.budiluhur.ac.id</w:t>
        </w:r>
      </w:hyperlink>
      <w:r w:rsidRPr="00E26457">
        <w:rPr>
          <w:rStyle w:val="Hyperlink"/>
          <w:rFonts w:ascii="Cambria" w:hAnsi="Cambria"/>
          <w:vertAlign w:val="superscript"/>
        </w:rPr>
        <w:t>1</w:t>
      </w:r>
      <w:r w:rsidR="007A5489" w:rsidRPr="00E26457">
        <w:rPr>
          <w:rFonts w:ascii="Cambria" w:hAnsi="Cambria"/>
          <w:color w:val="4472C4"/>
        </w:rPr>
        <w:t xml:space="preserve">, </w:t>
      </w:r>
      <w:bookmarkEnd w:id="0"/>
      <w:r w:rsidR="00EB2EDD" w:rsidRPr="00E26457">
        <w:rPr>
          <w:rFonts w:ascii="Cambria" w:hAnsi="Cambria"/>
        </w:rPr>
        <w:fldChar w:fldCharType="begin"/>
      </w:r>
      <w:r w:rsidR="00EB2EDD" w:rsidRPr="00E26457">
        <w:rPr>
          <w:rFonts w:ascii="Cambria" w:hAnsi="Cambria"/>
        </w:rPr>
        <w:instrText xml:space="preserve"> HYPERLINK "mailto:dicky.arisudhana@budiluhur.ac.id" </w:instrText>
      </w:r>
      <w:r w:rsidR="00EB2EDD" w:rsidRPr="00E26457">
        <w:rPr>
          <w:rFonts w:ascii="Cambria" w:hAnsi="Cambria"/>
        </w:rPr>
        <w:fldChar w:fldCharType="separate"/>
      </w:r>
      <w:r w:rsidR="003F32F4" w:rsidRPr="00E26457">
        <w:rPr>
          <w:rStyle w:val="Hyperlink"/>
          <w:rFonts w:ascii="Cambria" w:hAnsi="Cambria"/>
        </w:rPr>
        <w:t>dicky.arisudhana@budiluhur.ac.id</w:t>
      </w:r>
      <w:r w:rsidR="00EB2EDD" w:rsidRPr="00E26457">
        <w:rPr>
          <w:rStyle w:val="Hyperlink"/>
          <w:rFonts w:ascii="Cambria" w:hAnsi="Cambria"/>
        </w:rPr>
        <w:fldChar w:fldCharType="end"/>
      </w:r>
      <w:r w:rsidRPr="00E26457">
        <w:rPr>
          <w:rStyle w:val="Hyperlink"/>
          <w:rFonts w:ascii="Cambria" w:hAnsi="Cambria"/>
          <w:vertAlign w:val="superscript"/>
        </w:rPr>
        <w:t>2*</w:t>
      </w:r>
    </w:p>
    <w:p w14:paraId="421DBA1D" w14:textId="77777777" w:rsidR="00900C55" w:rsidRPr="00E26457" w:rsidRDefault="00900C55" w:rsidP="00F42CB5">
      <w:pPr>
        <w:pStyle w:val="Judulabstrak"/>
        <w:spacing w:before="360" w:after="240"/>
        <w:rPr>
          <w:rFonts w:cs="Times New Roman"/>
          <w:i/>
          <w:iCs/>
          <w:sz w:val="22"/>
          <w:szCs w:val="22"/>
          <w:lang w:val="en-US"/>
        </w:rPr>
      </w:pPr>
      <w:r w:rsidRPr="00E26457">
        <w:rPr>
          <w:rFonts w:cs="Times New Roman"/>
          <w:i/>
          <w:iCs/>
          <w:sz w:val="22"/>
          <w:szCs w:val="22"/>
          <w:lang w:val="en-US"/>
        </w:rPr>
        <w:t>Abstract</w:t>
      </w:r>
    </w:p>
    <w:p w14:paraId="59EC56A5" w14:textId="236E1B25" w:rsidR="0079333D" w:rsidRPr="00E26457" w:rsidRDefault="001C6FB4" w:rsidP="00F42CB5">
      <w:pPr>
        <w:spacing w:after="0" w:line="240" w:lineRule="auto"/>
        <w:jc w:val="both"/>
        <w:rPr>
          <w:rFonts w:ascii="Cambria" w:hAnsi="Cambria"/>
          <w:i/>
          <w:iCs/>
        </w:rPr>
      </w:pPr>
      <w:r w:rsidRPr="00E26457">
        <w:rPr>
          <w:rFonts w:ascii="Cambria" w:hAnsi="Cambria"/>
          <w:i/>
          <w:iCs/>
        </w:rPr>
        <w:t>For the years 2020–2023, we will track the food and beverage industry's listed companies on the IDX and look at how their return on assets (</w:t>
      </w:r>
      <w:r w:rsidR="00EF1C89" w:rsidRPr="00E26457">
        <w:rPr>
          <w:rFonts w:ascii="Cambria" w:hAnsi="Cambria"/>
          <w:i/>
          <w:iCs/>
        </w:rPr>
        <w:t>ROA</w:t>
      </w:r>
      <w:r w:rsidRPr="00E26457">
        <w:rPr>
          <w:rFonts w:ascii="Cambria" w:hAnsi="Cambria"/>
          <w:i/>
          <w:iCs/>
        </w:rPr>
        <w:t>), earnings per share (</w:t>
      </w:r>
      <w:r w:rsidR="00EF1C89" w:rsidRPr="00E26457">
        <w:rPr>
          <w:rFonts w:ascii="Cambria" w:hAnsi="Cambria"/>
          <w:i/>
          <w:iCs/>
        </w:rPr>
        <w:t>EPS</w:t>
      </w:r>
      <w:r w:rsidRPr="00E26457">
        <w:rPr>
          <w:rFonts w:ascii="Cambria" w:hAnsi="Cambria"/>
          <w:i/>
          <w:iCs/>
        </w:rPr>
        <w:t>), return on equity (</w:t>
      </w:r>
      <w:r w:rsidR="00EF1C89" w:rsidRPr="00E26457">
        <w:rPr>
          <w:rFonts w:ascii="Cambria" w:hAnsi="Cambria"/>
          <w:i/>
          <w:iCs/>
        </w:rPr>
        <w:t>ROE</w:t>
      </w:r>
      <w:r w:rsidRPr="00E26457">
        <w:rPr>
          <w:rFonts w:ascii="Cambria" w:hAnsi="Cambria"/>
          <w:i/>
          <w:iCs/>
        </w:rPr>
        <w:t>), and net profit margin (</w:t>
      </w:r>
      <w:r w:rsidR="00EF1C89" w:rsidRPr="00E26457">
        <w:rPr>
          <w:rFonts w:ascii="Cambria" w:hAnsi="Cambria"/>
          <w:i/>
          <w:iCs/>
        </w:rPr>
        <w:t>NPM</w:t>
      </w:r>
      <w:r w:rsidRPr="00E26457">
        <w:rPr>
          <w:rFonts w:ascii="Cambria" w:hAnsi="Cambria"/>
          <w:i/>
          <w:iCs/>
        </w:rPr>
        <w:t>) affected their stock price. Numerical data is the backbone of this research app</w:t>
      </w:r>
      <w:r w:rsidR="00EF1C89" w:rsidRPr="00E26457">
        <w:rPr>
          <w:rFonts w:ascii="Cambria" w:hAnsi="Cambria"/>
          <w:i/>
          <w:iCs/>
        </w:rPr>
        <w:t>ROA</w:t>
      </w:r>
      <w:r w:rsidRPr="00E26457">
        <w:rPr>
          <w:rFonts w:ascii="Cambria" w:hAnsi="Cambria"/>
          <w:i/>
          <w:iCs/>
        </w:rPr>
        <w:t xml:space="preserve">ch. In all, 95 people took part in this study. The sample methodology made use of a purposeful sampling technique. The study used a purposive selection technique to choose 49 businesses for the sample. We used multiple linear regression tests to examine the data since in this research, the dependent variable is affected by more than one independent variable. In order to analyze the data, the statistical program SPSS.23 was used. Regardless of </w:t>
      </w:r>
      <w:r w:rsidR="00EF1C89" w:rsidRPr="00E26457">
        <w:rPr>
          <w:rFonts w:ascii="Cambria" w:hAnsi="Cambria"/>
          <w:i/>
          <w:iCs/>
        </w:rPr>
        <w:t>ROA</w:t>
      </w:r>
      <w:r w:rsidRPr="00E26457">
        <w:rPr>
          <w:rFonts w:ascii="Cambria" w:hAnsi="Cambria"/>
          <w:i/>
          <w:iCs/>
        </w:rPr>
        <w:t xml:space="preserve">, </w:t>
      </w:r>
      <w:r w:rsidR="00EF1C89" w:rsidRPr="00E26457">
        <w:rPr>
          <w:rFonts w:ascii="Cambria" w:hAnsi="Cambria"/>
          <w:i/>
          <w:iCs/>
        </w:rPr>
        <w:t>EPS</w:t>
      </w:r>
      <w:r w:rsidRPr="00E26457">
        <w:rPr>
          <w:rFonts w:ascii="Cambria" w:hAnsi="Cambria"/>
          <w:i/>
          <w:iCs/>
        </w:rPr>
        <w:t>, or net profit margin, the research found that stock prices are unconnected. Between 2020 and 2023, Return On Equity impacts shares traded on the Indonesia Stock Exchange</w:t>
      </w:r>
      <w:r w:rsidR="0079333D" w:rsidRPr="00E26457">
        <w:rPr>
          <w:rFonts w:ascii="Cambria" w:hAnsi="Cambria"/>
          <w:i/>
          <w:iCs/>
        </w:rPr>
        <w:t>.</w:t>
      </w:r>
    </w:p>
    <w:p w14:paraId="5AC4E410" w14:textId="77777777" w:rsidR="0079333D" w:rsidRPr="00E26457" w:rsidRDefault="0079333D" w:rsidP="00F42CB5">
      <w:pPr>
        <w:spacing w:after="0" w:line="240" w:lineRule="auto"/>
        <w:ind w:firstLine="720"/>
        <w:jc w:val="both"/>
        <w:rPr>
          <w:rFonts w:ascii="Cambria" w:hAnsi="Cambria"/>
          <w:b/>
          <w:bCs/>
          <w:i/>
          <w:iCs/>
        </w:rPr>
      </w:pPr>
    </w:p>
    <w:p w14:paraId="4E6E17C6" w14:textId="77777777" w:rsidR="0079333D" w:rsidRPr="00E26457" w:rsidRDefault="0079333D" w:rsidP="00F42CB5">
      <w:pPr>
        <w:spacing w:after="0" w:line="240" w:lineRule="auto"/>
        <w:jc w:val="both"/>
        <w:rPr>
          <w:rFonts w:ascii="Cambria" w:hAnsi="Cambria"/>
          <w:i/>
          <w:iCs/>
        </w:rPr>
      </w:pPr>
      <w:r w:rsidRPr="00E26457">
        <w:rPr>
          <w:rFonts w:ascii="Cambria" w:hAnsi="Cambria"/>
          <w:b/>
          <w:bCs/>
          <w:i/>
          <w:iCs/>
        </w:rPr>
        <w:t xml:space="preserve">Keywords: </w:t>
      </w:r>
      <w:r w:rsidRPr="00E26457">
        <w:rPr>
          <w:rFonts w:ascii="Cambria" w:hAnsi="Cambria"/>
          <w:i/>
          <w:iCs/>
        </w:rPr>
        <w:t>Return On Assets, Earning Per Share, Return On Equity And Net Profit Margin, Share Price.</w:t>
      </w:r>
    </w:p>
    <w:p w14:paraId="13D36300" w14:textId="77777777" w:rsidR="0079333D" w:rsidRPr="00E26457" w:rsidRDefault="0079333D" w:rsidP="00F42CB5">
      <w:pPr>
        <w:spacing w:after="0" w:line="240" w:lineRule="auto"/>
        <w:jc w:val="both"/>
        <w:rPr>
          <w:rFonts w:ascii="Cambria" w:hAnsi="Cambria"/>
          <w:b/>
          <w:bCs/>
          <w:i/>
          <w:iCs/>
        </w:rPr>
      </w:pPr>
    </w:p>
    <w:tbl>
      <w:tblPr>
        <w:tblW w:w="0" w:type="auto"/>
        <w:shd w:val="clear" w:color="auto" w:fill="D9D9D9"/>
        <w:tblLayout w:type="fixed"/>
        <w:tblLook w:val="04A0" w:firstRow="1" w:lastRow="0" w:firstColumn="1" w:lastColumn="0" w:noHBand="0" w:noVBand="1"/>
      </w:tblPr>
      <w:tblGrid>
        <w:gridCol w:w="8257"/>
        <w:gridCol w:w="248"/>
      </w:tblGrid>
      <w:tr w:rsidR="001053FB" w:rsidRPr="00E26457" w14:paraId="20E78840" w14:textId="77777777" w:rsidTr="00AE7D0D">
        <w:trPr>
          <w:trHeight w:val="287"/>
        </w:trPr>
        <w:tc>
          <w:tcPr>
            <w:tcW w:w="8257" w:type="dxa"/>
            <w:shd w:val="clear" w:color="auto" w:fill="D9E2F3" w:themeFill="accent1" w:themeFillTint="33"/>
            <w:vAlign w:val="center"/>
          </w:tcPr>
          <w:p w14:paraId="673C26DD" w14:textId="10BB7FAC" w:rsidR="002F6C9D" w:rsidRPr="00E26457" w:rsidRDefault="002F6C9D" w:rsidP="00F42CB5">
            <w:pPr>
              <w:numPr>
                <w:ilvl w:val="0"/>
                <w:numId w:val="6"/>
              </w:numPr>
              <w:spacing w:after="0" w:line="240" w:lineRule="auto"/>
              <w:ind w:left="461" w:hanging="562"/>
              <w:rPr>
                <w:rFonts w:ascii="Cambria" w:hAnsi="Cambria"/>
                <w:b/>
              </w:rPr>
            </w:pPr>
            <w:r w:rsidRPr="00E26457">
              <w:rPr>
                <w:rFonts w:ascii="Cambria" w:hAnsi="Cambria"/>
                <w:b/>
                <w:noProof/>
              </w:rPr>
              <w:t>Pendahuluan</w:t>
            </w:r>
          </w:p>
        </w:tc>
        <w:tc>
          <w:tcPr>
            <w:tcW w:w="248" w:type="dxa"/>
            <w:shd w:val="clear" w:color="auto" w:fill="4472C4" w:themeFill="accent1"/>
          </w:tcPr>
          <w:p w14:paraId="09ABDA6F" w14:textId="77777777" w:rsidR="002F6C9D" w:rsidRPr="00E26457" w:rsidRDefault="002F6C9D" w:rsidP="00F42CB5">
            <w:pPr>
              <w:spacing w:after="0" w:line="240" w:lineRule="auto"/>
              <w:rPr>
                <w:rFonts w:ascii="Cambria" w:hAnsi="Cambria"/>
                <w:b/>
                <w:noProof/>
              </w:rPr>
            </w:pPr>
          </w:p>
        </w:tc>
      </w:tr>
    </w:tbl>
    <w:p w14:paraId="0C459078" w14:textId="77777777" w:rsidR="006005CE" w:rsidRPr="00E26457" w:rsidRDefault="006005CE" w:rsidP="00F42CB5">
      <w:pPr>
        <w:spacing w:after="0" w:line="240" w:lineRule="auto"/>
        <w:ind w:firstLine="576"/>
        <w:jc w:val="both"/>
        <w:rPr>
          <w:rFonts w:ascii="Cambria" w:hAnsi="Cambria"/>
        </w:rPr>
      </w:pPr>
    </w:p>
    <w:p w14:paraId="23FEA21F" w14:textId="77777777" w:rsidR="001C6FB4" w:rsidRPr="00E26457" w:rsidRDefault="001C6FB4" w:rsidP="001C6FB4">
      <w:pPr>
        <w:spacing w:after="0" w:line="240" w:lineRule="auto"/>
        <w:ind w:firstLine="576"/>
        <w:jc w:val="both"/>
        <w:rPr>
          <w:rFonts w:ascii="Cambria" w:hAnsi="Cambria"/>
        </w:rPr>
      </w:pPr>
      <w:r w:rsidRPr="00E26457">
        <w:rPr>
          <w:rFonts w:ascii="Cambria" w:hAnsi="Cambria"/>
        </w:rPr>
        <w:t xml:space="preserve">Ekonomi global akan menghadapi sejumlah tantangan yang kompleks di awal tahun 2024. “Ekonomi global” adalah jaringan sistem keuangan dan perdagangan dunia yang saling terhubung dan saling bergantung. Sebagai salah satu negara dengan perkembangan ekonomi paling pesat di dunia, Indonesia mengucurkan sumber daya untuk melakukan ekspansi yang cepat di semua industri. Pendanaan untuk hal ini dapat berasal dari berbagai tempat, termasuk pajak dan pinjaman (baik domestik maupun internasional). Untuk menghasilkan banyak uang melalui berbagai cara, seperti pasar saham, sektor publik dan komersial membutuhkan kerja sama yang erat. Pemerintah Indonesia memiliki harapan besar bahwa pasar modal dapat mempercepat pembangunan ekonomi negara. Pasar modal Indonesia memainkan peran penting dalam investasi negara. Setelah menjadi publik dan memungkinkan publik untuk memperdagangkan saham emiten, perusahaan-perusahaan dapat menggunakan BEI ini untuk keuntungan mereka ketika mencari lebih banyak modal. Ada pergerakan konstan dalam harga saham perusahaan. Nilai emiten meningkat seiring dengan harga saham. Saham perusahaan cenderung menurun nilainya seiring dengan nilai emiten. Fenomena menarik yang berkaitan dengan nilai perusahaan adalah naik turunnya harga saham di pasar modal. </w:t>
      </w:r>
    </w:p>
    <w:p w14:paraId="7A9E452B" w14:textId="77777777" w:rsidR="001C6FB4" w:rsidRPr="00E26457" w:rsidRDefault="001C6FB4" w:rsidP="001C6FB4">
      <w:pPr>
        <w:spacing w:after="0" w:line="240" w:lineRule="auto"/>
        <w:ind w:firstLine="576"/>
        <w:jc w:val="both"/>
        <w:rPr>
          <w:rFonts w:ascii="Cambria" w:hAnsi="Cambria"/>
        </w:rPr>
      </w:pPr>
    </w:p>
    <w:p w14:paraId="24D06E85" w14:textId="0927FA92" w:rsidR="001C6FB4" w:rsidRPr="00E26457" w:rsidRDefault="001C6FB4" w:rsidP="001C6FB4">
      <w:pPr>
        <w:spacing w:after="0" w:line="240" w:lineRule="auto"/>
        <w:ind w:firstLine="576"/>
        <w:jc w:val="both"/>
        <w:rPr>
          <w:rFonts w:ascii="Cambria" w:hAnsi="Cambria"/>
        </w:rPr>
      </w:pPr>
      <w:r w:rsidRPr="00E26457">
        <w:rPr>
          <w:rFonts w:ascii="Cambria" w:hAnsi="Cambria"/>
        </w:rPr>
        <w:t xml:space="preserve">Perusahaan-perusahaan di industri yang memiliki potensi pertumbuhan dalam kategori sektor industri. Industri makanan dan minuman diperkirakan akan mengalami pemulihan. Kenaikan industri makanan dan minuman yang sangat pesat setelah </w:t>
      </w:r>
      <w:r w:rsidRPr="00E26457">
        <w:rPr>
          <w:rFonts w:ascii="Cambria" w:hAnsi="Cambria"/>
        </w:rPr>
        <w:lastRenderedPageBreak/>
        <w:t xml:space="preserve">kemerosotan ekonomi yang panjang adalah buktinya. Para manajer di sektor makanan dan minuman berlomba-lomba menarik minat para calon investor sebagai akibat dari tingkat persaingan yang tinggi yang disebabkan oleh situasi ini. Industri barang konsumsi suatu negara sangat penting bagi kemakmuran ekonominya. </w:t>
      </w:r>
    </w:p>
    <w:p w14:paraId="6B2CAD5F" w14:textId="77777777" w:rsidR="001C6FB4" w:rsidRPr="00E26457" w:rsidRDefault="001C6FB4" w:rsidP="001C6FB4">
      <w:pPr>
        <w:spacing w:after="0" w:line="240" w:lineRule="auto"/>
        <w:ind w:firstLine="576"/>
        <w:jc w:val="both"/>
        <w:rPr>
          <w:rFonts w:ascii="Cambria" w:hAnsi="Cambria"/>
        </w:rPr>
      </w:pPr>
    </w:p>
    <w:p w14:paraId="2C03F32C" w14:textId="1C5A3140" w:rsidR="001C6FB4" w:rsidRPr="00E26457" w:rsidRDefault="001C6FB4" w:rsidP="001C6FB4">
      <w:pPr>
        <w:spacing w:after="0" w:line="240" w:lineRule="auto"/>
        <w:ind w:firstLine="576"/>
        <w:jc w:val="both"/>
        <w:rPr>
          <w:rFonts w:ascii="Cambria" w:hAnsi="Cambria"/>
        </w:rPr>
      </w:pPr>
      <w:r w:rsidRPr="00E26457">
        <w:rPr>
          <w:rFonts w:ascii="Cambria" w:hAnsi="Cambria"/>
        </w:rPr>
        <w:t xml:space="preserve">Hal ini berkaitan erat dengan penjualan barang-barang konsumsi oleh perusahaan-perusahaan Indonesia. </w:t>
      </w:r>
      <w:r w:rsidR="008744A4" w:rsidRPr="00E26457">
        <w:rPr>
          <w:rFonts w:ascii="Cambria" w:hAnsi="Cambria"/>
        </w:rPr>
        <w:t>SDM</w:t>
      </w:r>
      <w:r w:rsidRPr="00E26457">
        <w:rPr>
          <w:rFonts w:ascii="Cambria" w:hAnsi="Cambria"/>
        </w:rPr>
        <w:t xml:space="preserve"> adalah salah satu dari beberapa sumber daya yang dibutuhkan untuk produksi produk konsumen. Industri barang konsumsi adalah saluran potensial untuk penyerapan tenaga kerja dan pertumbuhan PDB bagi banyak negara. Saham-saham di industri ini adalah salah satu saham yang menjadi pertimbangan para investor. Investor mengantisipasi pertumbuhan yang stabil pada saham-saham industri ini, yang seharusnya meningkatkan nilai saham. Selain itu, barang-barang konsumen, yang dianggap sebagai kebutuhan pokok, akan selalu diminati, apa pun kondisi pasarnya. Para manajer di sektor makanan dan minuman berlomba-lomba menarik minat para calon investor sebagai akibat dari tingkat persaingan yang tinggi yang disebabkan oleh situasi ini. tahun ini (2020) di https://www.kontan.co.id/. </w:t>
      </w:r>
    </w:p>
    <w:p w14:paraId="2E94BAEC" w14:textId="77777777" w:rsidR="001C6FB4" w:rsidRPr="00E26457" w:rsidRDefault="001C6FB4" w:rsidP="001C6FB4">
      <w:pPr>
        <w:spacing w:after="0" w:line="240" w:lineRule="auto"/>
        <w:ind w:firstLine="576"/>
        <w:jc w:val="both"/>
        <w:rPr>
          <w:rFonts w:ascii="Cambria" w:hAnsi="Cambria"/>
        </w:rPr>
      </w:pPr>
    </w:p>
    <w:p w14:paraId="1AD3C4B5" w14:textId="4406F398" w:rsidR="001C6FB4" w:rsidRPr="00E26457" w:rsidRDefault="001C6FB4" w:rsidP="001C6FB4">
      <w:pPr>
        <w:spacing w:after="0" w:line="240" w:lineRule="auto"/>
        <w:ind w:firstLine="576"/>
        <w:jc w:val="both"/>
        <w:rPr>
          <w:rFonts w:ascii="Cambria" w:hAnsi="Cambria"/>
        </w:rPr>
      </w:pPr>
      <w:r w:rsidRPr="00E26457">
        <w:rPr>
          <w:rFonts w:ascii="Cambria" w:hAnsi="Cambria"/>
        </w:rPr>
        <w:t xml:space="preserve">Investor menggunakan harga saham untuk membeli dan menjual saham, karena melihatnya sebagai ukuran kinerja manajemen (Siregar, 2021: 22). </w:t>
      </w:r>
      <w:r w:rsidR="008744A4" w:rsidRPr="00E26457">
        <w:rPr>
          <w:rFonts w:ascii="Cambria" w:hAnsi="Cambria"/>
        </w:rPr>
        <w:t>Harga saham yang tinggi adalah tanda bisnis yang sukses. Beberapa metrik, termasuk laba operasional dan laba bersih per saham, menunjukkan seberapa baik kinerja bisnis dan seberapa baik manajemennya</w:t>
      </w:r>
      <w:r w:rsidRPr="00E26457">
        <w:rPr>
          <w:rFonts w:ascii="Cambria" w:hAnsi="Cambria"/>
        </w:rPr>
        <w:t>. Menurut F. Rukmini (2020:4), salah satu metode yang umum d</w:t>
      </w:r>
      <w:r w:rsidR="008744A4" w:rsidRPr="00E26457">
        <w:rPr>
          <w:rFonts w:ascii="Cambria" w:hAnsi="Cambria"/>
        </w:rPr>
        <w:t>ipakai</w:t>
      </w:r>
      <w:r w:rsidRPr="00E26457">
        <w:rPr>
          <w:rFonts w:ascii="Cambria" w:hAnsi="Cambria"/>
        </w:rPr>
        <w:t xml:space="preserve"> untuk menganalisis laporan adalah analisis rasio keuangan. Kemampuan organisasi untuk menghasilkan laba bersih dalam hubungannya dengan asetnya dapat dievaluasi dengan menggunakan berbagai statistik keuangan, termasuk </w:t>
      </w:r>
      <w:r w:rsidRPr="00E26457">
        <w:rPr>
          <w:rFonts w:ascii="Cambria" w:hAnsi="Cambria"/>
          <w:i/>
          <w:iCs/>
        </w:rPr>
        <w:t xml:space="preserve">Return </w:t>
      </w:r>
      <w:r w:rsidR="00EF1C89" w:rsidRPr="00E26457">
        <w:rPr>
          <w:rFonts w:ascii="Cambria" w:hAnsi="Cambria"/>
          <w:i/>
          <w:iCs/>
        </w:rPr>
        <w:t xml:space="preserve">On </w:t>
      </w:r>
      <w:r w:rsidRPr="00E26457">
        <w:rPr>
          <w:rFonts w:ascii="Cambria" w:hAnsi="Cambria"/>
          <w:i/>
          <w:iCs/>
        </w:rPr>
        <w:t>Equity</w:t>
      </w:r>
      <w:r w:rsidRPr="00E26457">
        <w:rPr>
          <w:rFonts w:ascii="Cambria" w:hAnsi="Cambria"/>
        </w:rPr>
        <w:t xml:space="preserve">, Laba per saham, </w:t>
      </w:r>
      <w:r w:rsidRPr="00E26457">
        <w:rPr>
          <w:rFonts w:ascii="Cambria" w:hAnsi="Cambria"/>
          <w:i/>
          <w:iCs/>
        </w:rPr>
        <w:t>Net Profit Margin</w:t>
      </w:r>
      <w:r w:rsidRPr="00E26457">
        <w:rPr>
          <w:rFonts w:ascii="Cambria" w:hAnsi="Cambria"/>
        </w:rPr>
        <w:t xml:space="preserve">, dan </w:t>
      </w:r>
      <w:r w:rsidRPr="00E26457">
        <w:rPr>
          <w:rFonts w:ascii="Cambria" w:hAnsi="Cambria"/>
          <w:i/>
          <w:iCs/>
        </w:rPr>
        <w:t>Return on Assets</w:t>
      </w:r>
      <w:r w:rsidRPr="00E26457">
        <w:rPr>
          <w:rFonts w:ascii="Cambria" w:hAnsi="Cambria"/>
        </w:rPr>
        <w:t xml:space="preserve">. Anda dapat mengetahui seberapa menguntungkan bisnis dengan melihat tanda-tanda ini. </w:t>
      </w:r>
    </w:p>
    <w:p w14:paraId="492E067B" w14:textId="77777777" w:rsidR="001C6FB4" w:rsidRPr="00E26457" w:rsidRDefault="001C6FB4" w:rsidP="001C6FB4">
      <w:pPr>
        <w:spacing w:after="0" w:line="240" w:lineRule="auto"/>
        <w:ind w:firstLine="576"/>
        <w:jc w:val="both"/>
        <w:rPr>
          <w:rFonts w:ascii="Cambria" w:hAnsi="Cambria"/>
        </w:rPr>
      </w:pPr>
    </w:p>
    <w:p w14:paraId="1D319C9B" w14:textId="7FCAEDD7" w:rsidR="0079333D" w:rsidRPr="00E26457" w:rsidRDefault="00EF1C89" w:rsidP="001C6FB4">
      <w:pPr>
        <w:spacing w:after="0" w:line="240" w:lineRule="auto"/>
        <w:ind w:firstLine="576"/>
        <w:jc w:val="both"/>
        <w:rPr>
          <w:rFonts w:ascii="Cambria" w:hAnsi="Cambria"/>
        </w:rPr>
      </w:pPr>
      <w:r w:rsidRPr="00E26457">
        <w:rPr>
          <w:rFonts w:ascii="Cambria" w:hAnsi="Cambria"/>
          <w:i/>
          <w:iCs/>
        </w:rPr>
        <w:t>ROA</w:t>
      </w:r>
      <w:r w:rsidR="001C6FB4" w:rsidRPr="00E26457">
        <w:rPr>
          <w:rFonts w:ascii="Cambria" w:hAnsi="Cambria"/>
        </w:rPr>
        <w:t xml:space="preserve"> adalah ukuran tingkat pengembalian atas total aset organisasi. (Al Umar &amp; Savitri, 2020) menyebutkan Tandelilin. </w:t>
      </w:r>
      <w:r w:rsidRPr="00E26457">
        <w:rPr>
          <w:rFonts w:ascii="Cambria" w:hAnsi="Cambria"/>
          <w:i/>
        </w:rPr>
        <w:t>ROA</w:t>
      </w:r>
      <w:r w:rsidR="001C6FB4" w:rsidRPr="00E26457">
        <w:rPr>
          <w:rFonts w:ascii="Cambria" w:hAnsi="Cambria"/>
        </w:rPr>
        <w:t xml:space="preserve"> perusahaan menunjukkan seberapa efisien perusahaan mengubah asetnya menjadi laba. Tingkat </w:t>
      </w:r>
      <w:r w:rsidRPr="00E26457">
        <w:rPr>
          <w:rFonts w:ascii="Cambria" w:hAnsi="Cambria"/>
          <w:i/>
        </w:rPr>
        <w:t>ROA</w:t>
      </w:r>
      <w:r w:rsidR="001C6FB4" w:rsidRPr="00E26457">
        <w:rPr>
          <w:rFonts w:ascii="Cambria" w:hAnsi="Cambria"/>
        </w:rPr>
        <w:t xml:space="preserve"> yang meningkat menunjukkan keberhasilan perusahaan yang lebih baik. Sejalan dengan hal tersebut adalah hasil penelitian Sabrina, Sasi dan Lestari P, Dina (2020). </w:t>
      </w:r>
      <w:r w:rsidRPr="00E26457">
        <w:rPr>
          <w:rFonts w:ascii="Cambria" w:hAnsi="Cambria"/>
          <w:i/>
        </w:rPr>
        <w:t>ROA</w:t>
      </w:r>
      <w:r w:rsidR="001C6FB4" w:rsidRPr="00E26457">
        <w:rPr>
          <w:rFonts w:ascii="Cambria" w:hAnsi="Cambria"/>
        </w:rPr>
        <w:t xml:space="preserve"> berpengaruh terhadap harga saham. Peningkatan </w:t>
      </w:r>
      <w:r w:rsidRPr="00E26457">
        <w:rPr>
          <w:rFonts w:ascii="Cambria" w:hAnsi="Cambria"/>
          <w:i/>
        </w:rPr>
        <w:t>EPS</w:t>
      </w:r>
      <w:r w:rsidR="001C6FB4" w:rsidRPr="00E26457">
        <w:rPr>
          <w:rFonts w:ascii="Cambria" w:hAnsi="Cambria"/>
        </w:rPr>
        <w:t xml:space="preserve"> merupakan kabar baik bagi para pemegang saham. Nurajah (2021). Kenaikan laba per lembar saham dapat membuat saham perusahaan lebih menarik bagi investor. Mendukung hal tersebut adalah hasil penelitian Ealsa Fifit Mualimah Qustriana dan Susanti Dwi Ilhami (2024). </w:t>
      </w:r>
      <w:r w:rsidRPr="00E26457">
        <w:rPr>
          <w:rFonts w:ascii="Cambria" w:hAnsi="Cambria"/>
          <w:i/>
          <w:iCs/>
        </w:rPr>
        <w:t>EPS</w:t>
      </w:r>
      <w:r w:rsidR="001C6FB4" w:rsidRPr="00E26457">
        <w:rPr>
          <w:rFonts w:ascii="Cambria" w:hAnsi="Cambria"/>
        </w:rPr>
        <w:t xml:space="preserve"> perusahaan berpengaruh terhadap penilaian saham. Menurut Wira (2020:84), </w:t>
      </w:r>
      <w:r w:rsidR="001C6FB4" w:rsidRPr="00E26457">
        <w:rPr>
          <w:rFonts w:ascii="Cambria" w:hAnsi="Cambria"/>
          <w:i/>
          <w:iCs/>
        </w:rPr>
        <w:t xml:space="preserve">Return </w:t>
      </w:r>
      <w:r w:rsidR="004905CC" w:rsidRPr="00E26457">
        <w:rPr>
          <w:rFonts w:ascii="Cambria" w:hAnsi="Cambria"/>
          <w:i/>
          <w:iCs/>
        </w:rPr>
        <w:t>O</w:t>
      </w:r>
      <w:r w:rsidR="001C6FB4" w:rsidRPr="00E26457">
        <w:rPr>
          <w:rFonts w:ascii="Cambria" w:hAnsi="Cambria"/>
          <w:i/>
          <w:iCs/>
        </w:rPr>
        <w:t xml:space="preserve">n </w:t>
      </w:r>
      <w:r w:rsidR="004905CC" w:rsidRPr="00E26457">
        <w:rPr>
          <w:rFonts w:ascii="Cambria" w:hAnsi="Cambria"/>
          <w:i/>
          <w:iCs/>
        </w:rPr>
        <w:t>Equity</w:t>
      </w:r>
      <w:r w:rsidR="004905CC" w:rsidRPr="00E26457">
        <w:rPr>
          <w:rFonts w:ascii="Cambria" w:hAnsi="Cambria"/>
        </w:rPr>
        <w:t xml:space="preserve"> </w:t>
      </w:r>
      <w:r w:rsidR="001C6FB4" w:rsidRPr="00E26457">
        <w:rPr>
          <w:rFonts w:ascii="Cambria" w:hAnsi="Cambria"/>
        </w:rPr>
        <w:t xml:space="preserve">merupakan ukuran profitabilitas perusahaan. Ketika </w:t>
      </w:r>
      <w:r w:rsidRPr="00E26457">
        <w:rPr>
          <w:rFonts w:ascii="Cambria" w:hAnsi="Cambria"/>
          <w:i/>
          <w:iCs/>
        </w:rPr>
        <w:t>ROE</w:t>
      </w:r>
      <w:r w:rsidR="001C6FB4" w:rsidRPr="00E26457">
        <w:rPr>
          <w:rFonts w:ascii="Cambria" w:hAnsi="Cambria"/>
        </w:rPr>
        <w:t xml:space="preserve"> tinggi, berarti perusahaan menghasilkan banyak uang. </w:t>
      </w:r>
      <w:r w:rsidRPr="00E26457">
        <w:rPr>
          <w:rFonts w:ascii="Cambria" w:hAnsi="Cambria"/>
          <w:i/>
          <w:iCs/>
        </w:rPr>
        <w:t>ROE</w:t>
      </w:r>
      <w:r w:rsidR="001C6FB4" w:rsidRPr="00E26457">
        <w:rPr>
          <w:rFonts w:ascii="Cambria" w:hAnsi="Cambria"/>
        </w:rPr>
        <w:t xml:space="preserve"> merupakan ukuran profitabilitas perusahaan. </w:t>
      </w:r>
      <w:r w:rsidRPr="00E26457">
        <w:rPr>
          <w:rFonts w:ascii="Cambria" w:hAnsi="Cambria"/>
          <w:i/>
        </w:rPr>
        <w:t>ROE</w:t>
      </w:r>
      <w:r w:rsidR="001C6FB4" w:rsidRPr="00E26457">
        <w:rPr>
          <w:rFonts w:ascii="Cambria" w:hAnsi="Cambria"/>
        </w:rPr>
        <w:t xml:space="preserve"> sering dinyatakan dalam bentuk persentase. Bahwa </w:t>
      </w:r>
      <w:r w:rsidRPr="00E26457">
        <w:rPr>
          <w:rFonts w:ascii="Cambria" w:hAnsi="Cambria"/>
          <w:i/>
          <w:iCs/>
        </w:rPr>
        <w:t>ROE</w:t>
      </w:r>
      <w:r w:rsidR="001C6FB4" w:rsidRPr="00E26457">
        <w:rPr>
          <w:rFonts w:ascii="Cambria" w:hAnsi="Cambria"/>
        </w:rPr>
        <w:t xml:space="preserve"> berpengaruh terhadap harga saham sejalan dengan temuan Daulat Freddy Simanjuntak (2021). bahwa Dina dan Sasi Sabrina melakukan penelitiannya pada (2020). Anda dapat melihat berapa proporsi penjualan yang menghasilkan laba bersih dengan melihat </w:t>
      </w:r>
      <w:r w:rsidRPr="00E26457">
        <w:rPr>
          <w:rFonts w:ascii="Cambria" w:hAnsi="Cambria"/>
          <w:i/>
        </w:rPr>
        <w:t>NPM</w:t>
      </w:r>
      <w:r w:rsidR="001C6FB4" w:rsidRPr="00E26457">
        <w:rPr>
          <w:rFonts w:ascii="Cambria" w:hAnsi="Cambria"/>
        </w:rPr>
        <w:t xml:space="preserve">. Nilai </w:t>
      </w:r>
      <w:r w:rsidRPr="00E26457">
        <w:rPr>
          <w:rFonts w:ascii="Cambria" w:hAnsi="Cambria"/>
          <w:i/>
        </w:rPr>
        <w:t>NPM</w:t>
      </w:r>
      <w:r w:rsidR="001C6FB4" w:rsidRPr="00E26457">
        <w:rPr>
          <w:rFonts w:ascii="Cambria" w:hAnsi="Cambria"/>
        </w:rPr>
        <w:t xml:space="preserve"> yang lebih besar, seperti yang dinyatakan oleh Rahmani (2019), menunjukkan bahwa investor lebih percaya pada kapasitas perusahaan untuk menghasilkan laba, yang mengarah pada kenaikan harga saham. Hasil </w:t>
      </w:r>
      <w:r w:rsidR="008744A4" w:rsidRPr="00E26457">
        <w:rPr>
          <w:rFonts w:ascii="Cambria" w:hAnsi="Cambria"/>
        </w:rPr>
        <w:t>studi</w:t>
      </w:r>
      <w:r w:rsidR="001C6FB4" w:rsidRPr="00E26457">
        <w:rPr>
          <w:rFonts w:ascii="Cambria" w:hAnsi="Cambria"/>
        </w:rPr>
        <w:t xml:space="preserve"> Nenenng Faridatul Husna dan Nanan Sunandar (2021) mendukung hal tersebut, menunjukkan bahwa </w:t>
      </w:r>
      <w:r w:rsidRPr="00E26457">
        <w:rPr>
          <w:rFonts w:ascii="Cambria" w:hAnsi="Cambria"/>
          <w:i/>
        </w:rPr>
        <w:t>NPM</w:t>
      </w:r>
      <w:r w:rsidR="001C6FB4" w:rsidRPr="00E26457">
        <w:rPr>
          <w:rFonts w:ascii="Cambria" w:hAnsi="Cambria"/>
        </w:rPr>
        <w:t xml:space="preserve"> memang berdampak pada harga saham. Selain itu penelitian mengenai harga saham yang dilakukan oleh Dina Sabrina dan Sasi Sabrina (2020)</w:t>
      </w:r>
      <w:r w:rsidR="0079333D" w:rsidRPr="00E26457">
        <w:rPr>
          <w:rFonts w:ascii="Cambria" w:hAnsi="Cambria"/>
        </w:rPr>
        <w:t>.</w:t>
      </w:r>
    </w:p>
    <w:p w14:paraId="02EE107D" w14:textId="77777777" w:rsidR="006005CE" w:rsidRPr="00E26457" w:rsidRDefault="006005CE" w:rsidP="00F42CB5">
      <w:pPr>
        <w:spacing w:after="0" w:line="240" w:lineRule="auto"/>
        <w:ind w:firstLine="576"/>
        <w:jc w:val="both"/>
        <w:rPr>
          <w:rFonts w:ascii="Cambria" w:hAnsi="Cambria"/>
        </w:rPr>
      </w:pPr>
    </w:p>
    <w:p w14:paraId="414BF099" w14:textId="77777777" w:rsidR="0079333D" w:rsidRPr="00E26457" w:rsidRDefault="0079333D" w:rsidP="00F42CB5">
      <w:pPr>
        <w:spacing w:after="0" w:line="240" w:lineRule="auto"/>
        <w:jc w:val="both"/>
        <w:rPr>
          <w:rFonts w:ascii="Cambria" w:hAnsi="Cambria"/>
          <w:b/>
          <w:bCs/>
          <w:i/>
          <w:iCs/>
        </w:rPr>
      </w:pPr>
      <w:r w:rsidRPr="00E26457">
        <w:rPr>
          <w:rFonts w:ascii="Cambria" w:hAnsi="Cambria"/>
          <w:b/>
          <w:bCs/>
        </w:rPr>
        <w:t xml:space="preserve">Teori Sinyal </w:t>
      </w:r>
      <w:r w:rsidRPr="00E26457">
        <w:rPr>
          <w:rFonts w:ascii="Cambria" w:hAnsi="Cambria"/>
          <w:b/>
          <w:bCs/>
          <w:i/>
          <w:iCs/>
        </w:rPr>
        <w:t xml:space="preserve">(Signalling Theory) </w:t>
      </w:r>
    </w:p>
    <w:p w14:paraId="1959E298" w14:textId="131CF943" w:rsidR="0079333D" w:rsidRPr="00E26457" w:rsidRDefault="001C6FB4" w:rsidP="00F42CB5">
      <w:pPr>
        <w:spacing w:after="0" w:line="240" w:lineRule="auto"/>
        <w:ind w:firstLine="576"/>
        <w:jc w:val="both"/>
        <w:rPr>
          <w:rFonts w:ascii="Cambria" w:hAnsi="Cambria"/>
          <w:i/>
          <w:iCs/>
        </w:rPr>
      </w:pPr>
      <w:r w:rsidRPr="00E26457">
        <w:rPr>
          <w:rFonts w:ascii="Cambria" w:hAnsi="Cambria"/>
        </w:rPr>
        <w:lastRenderedPageBreak/>
        <w:t>Menurut teori sinyal, ketika manajemen perusahaan bertindak dengan cara tertentu, mereka mengirimkan pesan tentang prospek masa depan perusahaan kepada investor dan pihak luar lainnya (Sari &amp; Mulyani, 2019). Investor atau pihak lain di luar organisasi dapat menggunakan sinyal tersebut sebagai informasi untuk membantu mereka membuat pilihan investasi. Menurut Sari dan Mulyani (2019), entitas dipandang memiliki prospek yang tinggi jika mereka menyampaikan laporan tahunan tepat waktu. Sebaliknya, jika mereka terlambat menyampaikan laporannya, mereka dipandang memiliki prospek yang buruk. Segera setelah berita tersiar dan semua orang di pasar mendapatkan salinannya, hal pertama yang mereka lakukan adalah mencari tahu apakah itu berita baik atau buruk</w:t>
      </w:r>
      <w:r w:rsidR="0079333D" w:rsidRPr="00E26457">
        <w:rPr>
          <w:rFonts w:ascii="Cambria" w:hAnsi="Cambria"/>
          <w:i/>
          <w:iCs/>
        </w:rPr>
        <w:t xml:space="preserve">. </w:t>
      </w:r>
    </w:p>
    <w:p w14:paraId="224A8F76" w14:textId="77777777" w:rsidR="006005CE" w:rsidRPr="00E26457" w:rsidRDefault="006005CE" w:rsidP="00F42CB5">
      <w:pPr>
        <w:spacing w:after="0" w:line="240" w:lineRule="auto"/>
        <w:ind w:firstLine="576"/>
        <w:jc w:val="both"/>
        <w:rPr>
          <w:rFonts w:ascii="Cambria" w:hAnsi="Cambria"/>
          <w:i/>
          <w:iCs/>
        </w:rPr>
      </w:pPr>
    </w:p>
    <w:p w14:paraId="2328877C" w14:textId="23B4AF49" w:rsidR="006005CE" w:rsidRPr="00E26457" w:rsidRDefault="0079333D" w:rsidP="00F42CB5">
      <w:pPr>
        <w:spacing w:after="0" w:line="240" w:lineRule="auto"/>
        <w:jc w:val="both"/>
        <w:rPr>
          <w:rFonts w:ascii="Cambria" w:hAnsi="Cambria"/>
          <w:b/>
          <w:bCs/>
        </w:rPr>
      </w:pPr>
      <w:r w:rsidRPr="00E26457">
        <w:rPr>
          <w:rFonts w:ascii="Cambria" w:hAnsi="Cambria"/>
          <w:b/>
          <w:bCs/>
        </w:rPr>
        <w:t xml:space="preserve">Teori Keagenan </w:t>
      </w:r>
      <w:r w:rsidRPr="00E26457">
        <w:rPr>
          <w:rFonts w:ascii="Cambria" w:hAnsi="Cambria"/>
          <w:b/>
          <w:bCs/>
          <w:i/>
          <w:iCs/>
        </w:rPr>
        <w:t>(Agency Theory)</w:t>
      </w:r>
      <w:r w:rsidRPr="00E26457">
        <w:rPr>
          <w:rFonts w:ascii="Cambria" w:hAnsi="Cambria"/>
          <w:b/>
          <w:bCs/>
        </w:rPr>
        <w:t xml:space="preserve"> </w:t>
      </w:r>
    </w:p>
    <w:p w14:paraId="1E3F8F12" w14:textId="75CC5060" w:rsidR="0079333D" w:rsidRPr="00E26457" w:rsidRDefault="001C6FB4" w:rsidP="00F42CB5">
      <w:pPr>
        <w:spacing w:after="0" w:line="240" w:lineRule="auto"/>
        <w:ind w:firstLine="576"/>
        <w:jc w:val="both"/>
        <w:rPr>
          <w:rFonts w:ascii="Cambria" w:hAnsi="Cambria"/>
        </w:rPr>
      </w:pPr>
      <w:r w:rsidRPr="00E26457">
        <w:rPr>
          <w:rFonts w:ascii="Cambria" w:hAnsi="Cambria"/>
        </w:rPr>
        <w:t xml:space="preserve">Teori keagenan menjelaskan hubungan antara pemegang saham dan manajemen. Pemegang saham mempercayakan kepentingan terbaik mereka kepada manajemen, pihak ketiga. Karena mereka dipilih, manajemen harus mempertanggungjawabkan tindakan mereka kepada para pemegang saham (Sutra &amp; Mais, 2019). Jika pemegang saham dan tim manajemen memiliki tujuan yang sama untuk meningkatkan nilai perusahaan, maka tim manajemen akan mematuhi ketentuan kontrak dan mengikuti arahan pemilik. Teori keagenan menjelaskan hal ini. </w:t>
      </w:r>
      <w:r w:rsidR="008744A4" w:rsidRPr="00E26457">
        <w:rPr>
          <w:rFonts w:ascii="Cambria" w:hAnsi="Cambria"/>
        </w:rPr>
        <w:t>Penjelasan mengenai dinamika antara pemegang saham dan manajemen dapat ditemukan dalam model hubungan keagenan. Manajer dan pemegang saham berada dalam hubungan keagenan, yang dapat menyebabkan konflik. Pengajuan keuangan perusahaan dapat mengungkapkan kinerja terbaik agen untuk perusahaan. Calon penyokong mempelajari pembukuan untuk mendapatkan gambaran tentang bisnis. Diharapkan pendapatan yang tinggi, yang menarik calon investor. Harga saham naik ketika ada banyak orang yang tertarik membeli saham perusahaan. Namun, harga saham bisa turun jika investor tidak tertarik membeli saham perusahaan. Laporan tahunan adalah salah satu jenis dokumentasi perusahaan yang dapat bertindak sebagai perantara bagi pihak-pihak di luar organisasi, seperti calon investor</w:t>
      </w:r>
      <w:r w:rsidR="0079333D" w:rsidRPr="00E26457">
        <w:rPr>
          <w:rFonts w:ascii="Cambria" w:hAnsi="Cambria"/>
        </w:rPr>
        <w:t>.</w:t>
      </w:r>
    </w:p>
    <w:p w14:paraId="79022D25" w14:textId="77777777" w:rsidR="006005CE" w:rsidRPr="00E26457" w:rsidRDefault="006005CE" w:rsidP="00F42CB5">
      <w:pPr>
        <w:spacing w:after="0" w:line="240" w:lineRule="auto"/>
        <w:ind w:firstLine="576"/>
        <w:jc w:val="both"/>
        <w:rPr>
          <w:rFonts w:ascii="Cambria" w:hAnsi="Cambria"/>
        </w:rPr>
      </w:pPr>
    </w:p>
    <w:p w14:paraId="07605858" w14:textId="6672ED1D" w:rsidR="0079333D" w:rsidRPr="00E26457" w:rsidRDefault="0079333D" w:rsidP="00F42CB5">
      <w:pPr>
        <w:spacing w:after="0" w:line="240" w:lineRule="auto"/>
        <w:rPr>
          <w:rFonts w:ascii="Cambria" w:hAnsi="Cambria"/>
        </w:rPr>
      </w:pPr>
      <w:r w:rsidRPr="00E26457">
        <w:rPr>
          <w:rFonts w:ascii="Cambria" w:hAnsi="Cambria"/>
          <w:b/>
          <w:bCs/>
        </w:rPr>
        <w:t xml:space="preserve">Harga Saham </w:t>
      </w:r>
    </w:p>
    <w:p w14:paraId="66EAFC18" w14:textId="56EF5B99" w:rsidR="0079333D" w:rsidRPr="00E26457" w:rsidRDefault="001C6FB4" w:rsidP="00F42CB5">
      <w:pPr>
        <w:spacing w:after="0" w:line="240" w:lineRule="auto"/>
        <w:ind w:firstLine="576"/>
        <w:jc w:val="both"/>
        <w:rPr>
          <w:rFonts w:ascii="Cambria" w:hAnsi="Cambria"/>
        </w:rPr>
      </w:pPr>
      <w:r w:rsidRPr="00E26457">
        <w:rPr>
          <w:rFonts w:ascii="Cambria" w:hAnsi="Cambria"/>
        </w:rPr>
        <w:t>Harga saham adalah jumlah yang dibebankan perusahaan kepada entitas lain untuk memberikan mereka hak kepemilikan di perusahaan (Wardhani et al., 2022: 39). Investor memanfaatkan harga saham sebagai sinyal dari manajemen perusahaan untuk membeli dan menjual saham (Siregar, 2021: 22). Jika harga saham suatu perusahaan tinggi, berarti perusahaan tersebut menguntungkan</w:t>
      </w:r>
      <w:r w:rsidR="0079333D" w:rsidRPr="00E26457">
        <w:rPr>
          <w:rFonts w:ascii="Cambria" w:hAnsi="Cambria"/>
        </w:rPr>
        <w:t>.</w:t>
      </w:r>
    </w:p>
    <w:p w14:paraId="7B2F2F79" w14:textId="77777777" w:rsidR="006005CE" w:rsidRPr="00E26457" w:rsidRDefault="006005CE" w:rsidP="00F42CB5">
      <w:pPr>
        <w:spacing w:after="0" w:line="240" w:lineRule="auto"/>
        <w:ind w:firstLine="576"/>
        <w:jc w:val="both"/>
        <w:rPr>
          <w:rFonts w:ascii="Cambria" w:hAnsi="Cambria"/>
        </w:rPr>
      </w:pPr>
    </w:p>
    <w:p w14:paraId="5FB4ABFF" w14:textId="783F686C" w:rsidR="0079333D" w:rsidRPr="00E26457" w:rsidRDefault="0079333D" w:rsidP="00F42CB5">
      <w:pPr>
        <w:spacing w:after="0" w:line="240" w:lineRule="auto"/>
        <w:jc w:val="both"/>
        <w:rPr>
          <w:rFonts w:ascii="Cambria" w:hAnsi="Cambria"/>
          <w:b/>
          <w:bCs/>
        </w:rPr>
      </w:pPr>
      <w:r w:rsidRPr="00E26457">
        <w:rPr>
          <w:rFonts w:ascii="Cambria" w:hAnsi="Cambria"/>
          <w:b/>
          <w:bCs/>
          <w:i/>
        </w:rPr>
        <w:t>Return On Asset</w:t>
      </w:r>
      <w:r w:rsidRPr="00E26457">
        <w:rPr>
          <w:rFonts w:ascii="Cambria" w:hAnsi="Cambria"/>
          <w:b/>
          <w:bCs/>
        </w:rPr>
        <w:t xml:space="preserve"> </w:t>
      </w:r>
      <w:r w:rsidRPr="00E26457">
        <w:rPr>
          <w:rFonts w:ascii="Cambria" w:hAnsi="Cambria"/>
          <w:b/>
          <w:bCs/>
          <w:i/>
        </w:rPr>
        <w:t>(</w:t>
      </w:r>
      <w:r w:rsidR="00EF1C89" w:rsidRPr="00E26457">
        <w:rPr>
          <w:rFonts w:ascii="Cambria" w:hAnsi="Cambria"/>
          <w:b/>
          <w:bCs/>
          <w:i/>
        </w:rPr>
        <w:t>ROA</w:t>
      </w:r>
      <w:r w:rsidRPr="00E26457">
        <w:rPr>
          <w:rFonts w:ascii="Cambria" w:hAnsi="Cambria"/>
          <w:b/>
          <w:bCs/>
          <w:i/>
        </w:rPr>
        <w:t>)</w:t>
      </w:r>
      <w:r w:rsidRPr="00E26457">
        <w:rPr>
          <w:rFonts w:ascii="Cambria" w:hAnsi="Cambria"/>
          <w:b/>
          <w:bCs/>
        </w:rPr>
        <w:t xml:space="preserve"> </w:t>
      </w:r>
    </w:p>
    <w:p w14:paraId="313746DB" w14:textId="63227765" w:rsidR="0079333D" w:rsidRPr="00E26457" w:rsidRDefault="001C6FB4" w:rsidP="00F42CB5">
      <w:pPr>
        <w:spacing w:after="0" w:line="240" w:lineRule="auto"/>
        <w:ind w:firstLine="576"/>
        <w:jc w:val="both"/>
        <w:rPr>
          <w:rFonts w:ascii="Cambria" w:hAnsi="Cambria"/>
        </w:rPr>
      </w:pPr>
      <w:r w:rsidRPr="00E26457">
        <w:rPr>
          <w:rFonts w:ascii="Cambria" w:hAnsi="Cambria"/>
          <w:iCs/>
        </w:rPr>
        <w:t xml:space="preserve">Salah satu cara untuk mengevaluasi kesehatan keuangan bisnis adalah dengan melihat </w:t>
      </w:r>
      <w:r w:rsidR="00EF1C89" w:rsidRPr="00E26457">
        <w:rPr>
          <w:rFonts w:ascii="Cambria" w:hAnsi="Cambria"/>
          <w:i/>
          <w:iCs/>
        </w:rPr>
        <w:t>ROA</w:t>
      </w:r>
      <w:r w:rsidRPr="00E26457">
        <w:rPr>
          <w:rFonts w:ascii="Cambria" w:hAnsi="Cambria"/>
          <w:iCs/>
        </w:rPr>
        <w:t xml:space="preserve">. Salah satu cara untuk mendefinisikan laba atas aset adalah sebagai tingkat pengembalian atas investasi dalam saham perusahaan. </w:t>
      </w:r>
      <w:r w:rsidR="00EF1C89" w:rsidRPr="00E26457">
        <w:rPr>
          <w:rFonts w:ascii="Cambria" w:hAnsi="Cambria"/>
          <w:i/>
          <w:iCs/>
        </w:rPr>
        <w:t>ROA</w:t>
      </w:r>
      <w:r w:rsidRPr="00E26457">
        <w:rPr>
          <w:rFonts w:ascii="Cambria" w:hAnsi="Cambria"/>
          <w:iCs/>
        </w:rPr>
        <w:t xml:space="preserve"> adalah metrik kinerja keuangan yang melihat seberapa baik sebuah bisnis mampu mengubah asetnya menjadi laba bersih</w:t>
      </w:r>
      <w:r w:rsidR="0079333D" w:rsidRPr="00E26457">
        <w:rPr>
          <w:rFonts w:ascii="Cambria" w:hAnsi="Cambria"/>
        </w:rPr>
        <w:t>. (Akbar &amp; Djawoto, 2021).</w:t>
      </w:r>
    </w:p>
    <w:p w14:paraId="73A29FCC" w14:textId="77777777" w:rsidR="006005CE" w:rsidRPr="00E26457" w:rsidRDefault="006005CE" w:rsidP="00F42CB5">
      <w:pPr>
        <w:spacing w:after="0" w:line="240" w:lineRule="auto"/>
        <w:ind w:firstLine="576"/>
        <w:jc w:val="both"/>
        <w:rPr>
          <w:rFonts w:ascii="Cambria" w:hAnsi="Cambria"/>
        </w:rPr>
      </w:pPr>
    </w:p>
    <w:p w14:paraId="30A604A5" w14:textId="101FC3A3" w:rsidR="0079333D" w:rsidRPr="00E26457" w:rsidRDefault="0079333D" w:rsidP="00F42CB5">
      <w:pPr>
        <w:spacing w:after="0" w:line="240" w:lineRule="auto"/>
        <w:jc w:val="both"/>
        <w:rPr>
          <w:rFonts w:ascii="Cambria" w:hAnsi="Cambria"/>
          <w:b/>
          <w:bCs/>
        </w:rPr>
      </w:pPr>
      <w:r w:rsidRPr="00E26457">
        <w:rPr>
          <w:rFonts w:ascii="Cambria" w:hAnsi="Cambria"/>
          <w:b/>
          <w:bCs/>
          <w:i/>
        </w:rPr>
        <w:t>Earning Per Share (</w:t>
      </w:r>
      <w:r w:rsidR="00EF1C89" w:rsidRPr="00E26457">
        <w:rPr>
          <w:rFonts w:ascii="Cambria" w:hAnsi="Cambria"/>
          <w:b/>
          <w:bCs/>
          <w:i/>
        </w:rPr>
        <w:t>EPS</w:t>
      </w:r>
      <w:r w:rsidRPr="00E26457">
        <w:rPr>
          <w:rFonts w:ascii="Cambria" w:hAnsi="Cambria"/>
          <w:b/>
          <w:bCs/>
          <w:i/>
        </w:rPr>
        <w:t>)</w:t>
      </w:r>
      <w:r w:rsidRPr="00E26457">
        <w:rPr>
          <w:rFonts w:ascii="Cambria" w:hAnsi="Cambria"/>
          <w:b/>
          <w:bCs/>
        </w:rPr>
        <w:t xml:space="preserve"> </w:t>
      </w:r>
    </w:p>
    <w:p w14:paraId="6C0CF38C" w14:textId="4DCDCE69" w:rsidR="0079333D" w:rsidRPr="00E26457" w:rsidRDefault="001C6FB4" w:rsidP="00F42CB5">
      <w:pPr>
        <w:spacing w:after="0" w:line="240" w:lineRule="auto"/>
        <w:ind w:firstLine="576"/>
        <w:jc w:val="both"/>
        <w:rPr>
          <w:rFonts w:ascii="Cambria" w:hAnsi="Cambria"/>
        </w:rPr>
      </w:pPr>
      <w:r w:rsidRPr="00E26457">
        <w:rPr>
          <w:rFonts w:ascii="Cambria" w:hAnsi="Cambria"/>
        </w:rPr>
        <w:t xml:space="preserve">Mikrad (2020) mengutip Fahmi. Laba sebelum pajak dibagi dengan jumlah saham yang beredar disebut </w:t>
      </w:r>
      <w:r w:rsidR="00EF1C89" w:rsidRPr="00E26457">
        <w:rPr>
          <w:rFonts w:ascii="Cambria" w:hAnsi="Cambria"/>
          <w:i/>
        </w:rPr>
        <w:t>EPS</w:t>
      </w:r>
      <w:r w:rsidRPr="00E26457">
        <w:rPr>
          <w:rFonts w:ascii="Cambria" w:hAnsi="Cambria"/>
        </w:rPr>
        <w:t xml:space="preserve">. Investor mungkin mengharapkan pengembalian investasi yang lebih besar per lembar saham jika </w:t>
      </w:r>
      <w:r w:rsidR="00EF1C89" w:rsidRPr="00E26457">
        <w:rPr>
          <w:rFonts w:ascii="Cambria" w:hAnsi="Cambria"/>
          <w:i/>
        </w:rPr>
        <w:t>EPS</w:t>
      </w:r>
      <w:r w:rsidRPr="00E26457">
        <w:rPr>
          <w:rFonts w:ascii="Cambria" w:hAnsi="Cambria"/>
        </w:rPr>
        <w:t xml:space="preserve"> tinggi (Nurjanah, 2021). Angka </w:t>
      </w:r>
      <w:r w:rsidR="00EF1C89" w:rsidRPr="00E26457">
        <w:rPr>
          <w:rFonts w:ascii="Cambria" w:hAnsi="Cambria"/>
          <w:i/>
        </w:rPr>
        <w:t>EPS</w:t>
      </w:r>
      <w:r w:rsidRPr="00E26457">
        <w:rPr>
          <w:rFonts w:ascii="Cambria" w:hAnsi="Cambria"/>
        </w:rPr>
        <w:t xml:space="preserve"> yang negatif menunjukkan kinerja yang buruk, sedangkan angka </w:t>
      </w:r>
      <w:r w:rsidR="00EF1C89" w:rsidRPr="00E26457">
        <w:rPr>
          <w:rFonts w:ascii="Cambria" w:hAnsi="Cambria"/>
          <w:i/>
        </w:rPr>
        <w:t>EPS</w:t>
      </w:r>
      <w:r w:rsidRPr="00E26457">
        <w:rPr>
          <w:rFonts w:ascii="Cambria" w:hAnsi="Cambria"/>
        </w:rPr>
        <w:t xml:space="preserve"> yang rendah memperlihatkan hasil yang kurang baik (Budiyono &amp; Santoso, 2019)</w:t>
      </w:r>
    </w:p>
    <w:p w14:paraId="696BF542" w14:textId="77777777" w:rsidR="006005CE" w:rsidRPr="00E26457" w:rsidRDefault="006005CE" w:rsidP="00F42CB5">
      <w:pPr>
        <w:spacing w:after="0" w:line="240" w:lineRule="auto"/>
        <w:ind w:firstLine="576"/>
        <w:jc w:val="both"/>
        <w:rPr>
          <w:rFonts w:ascii="Cambria" w:hAnsi="Cambria"/>
        </w:rPr>
      </w:pPr>
    </w:p>
    <w:p w14:paraId="775773B8" w14:textId="7127835F" w:rsidR="00522EE4" w:rsidRPr="00E26457" w:rsidRDefault="0079333D" w:rsidP="00E26457">
      <w:pPr>
        <w:spacing w:after="0" w:line="240" w:lineRule="auto"/>
        <w:jc w:val="both"/>
        <w:rPr>
          <w:rFonts w:ascii="Cambria" w:hAnsi="Cambria"/>
        </w:rPr>
      </w:pPr>
      <w:r w:rsidRPr="00E26457">
        <w:rPr>
          <w:rFonts w:ascii="Cambria" w:hAnsi="Cambria"/>
          <w:b/>
          <w:bCs/>
          <w:i/>
          <w:iCs/>
        </w:rPr>
        <w:t>Return On Equity</w:t>
      </w:r>
      <w:r w:rsidRPr="00E26457">
        <w:rPr>
          <w:rFonts w:ascii="Cambria" w:hAnsi="Cambria"/>
          <w:b/>
          <w:bCs/>
        </w:rPr>
        <w:t xml:space="preserve"> </w:t>
      </w:r>
      <w:r w:rsidRPr="00E26457">
        <w:rPr>
          <w:rFonts w:ascii="Cambria" w:hAnsi="Cambria"/>
          <w:b/>
          <w:bCs/>
          <w:i/>
        </w:rPr>
        <w:t>(</w:t>
      </w:r>
      <w:r w:rsidR="00EF1C89" w:rsidRPr="00E26457">
        <w:rPr>
          <w:rFonts w:ascii="Cambria" w:hAnsi="Cambria"/>
          <w:b/>
          <w:bCs/>
          <w:i/>
        </w:rPr>
        <w:t>ROE</w:t>
      </w:r>
      <w:r w:rsidRPr="00E26457">
        <w:rPr>
          <w:rFonts w:ascii="Cambria" w:hAnsi="Cambria"/>
          <w:b/>
          <w:bCs/>
          <w:i/>
        </w:rPr>
        <w:t>)</w:t>
      </w:r>
      <w:r w:rsidRPr="00E26457">
        <w:rPr>
          <w:rFonts w:ascii="Cambria" w:hAnsi="Cambria"/>
          <w:b/>
          <w:bCs/>
        </w:rPr>
        <w:t xml:space="preserve"> </w:t>
      </w:r>
    </w:p>
    <w:p w14:paraId="32C2A26D" w14:textId="48336857" w:rsidR="0079333D" w:rsidRPr="00E26457" w:rsidRDefault="0079333D" w:rsidP="00F42CB5">
      <w:pPr>
        <w:spacing w:after="0" w:line="240" w:lineRule="auto"/>
        <w:ind w:firstLine="576"/>
        <w:jc w:val="both"/>
        <w:rPr>
          <w:rFonts w:ascii="Cambria" w:hAnsi="Cambria"/>
        </w:rPr>
      </w:pPr>
      <w:r w:rsidRPr="00E26457">
        <w:rPr>
          <w:rFonts w:ascii="Cambria" w:hAnsi="Cambria"/>
        </w:rPr>
        <w:t>Menurut Budiman (2021:41</w:t>
      </w:r>
      <w:r w:rsidR="001C6FB4" w:rsidRPr="00E26457">
        <w:rPr>
          <w:rFonts w:ascii="Cambria" w:hAnsi="Cambria"/>
        </w:rPr>
        <w:t xml:space="preserve">) Bagi laba bersih dengan total ekuitas perusahaan untuk mendapatkan </w:t>
      </w:r>
      <w:r w:rsidR="00EF1C89" w:rsidRPr="00E26457">
        <w:rPr>
          <w:rFonts w:ascii="Cambria" w:hAnsi="Cambria"/>
          <w:i/>
        </w:rPr>
        <w:t>ROA</w:t>
      </w:r>
      <w:r w:rsidR="001C6FB4" w:rsidRPr="00E26457">
        <w:rPr>
          <w:rFonts w:ascii="Cambria" w:hAnsi="Cambria"/>
        </w:rPr>
        <w:t xml:space="preserve">. Profitabilitas perusahaan dapat diukur dengan melihat tingkat </w:t>
      </w:r>
      <w:r w:rsidR="00EF1C89" w:rsidRPr="00E26457">
        <w:rPr>
          <w:rFonts w:ascii="Cambria" w:hAnsi="Cambria"/>
          <w:i/>
        </w:rPr>
        <w:t>ROA</w:t>
      </w:r>
      <w:r w:rsidR="001C6FB4" w:rsidRPr="00E26457">
        <w:rPr>
          <w:rFonts w:ascii="Cambria" w:hAnsi="Cambria"/>
        </w:rPr>
        <w:t xml:space="preserve"> </w:t>
      </w:r>
      <w:r w:rsidR="001C6FB4" w:rsidRPr="00E26457">
        <w:rPr>
          <w:rFonts w:ascii="Cambria" w:hAnsi="Cambria"/>
        </w:rPr>
        <w:lastRenderedPageBreak/>
        <w:t xml:space="preserve">(Wira, 2020: 84). </w:t>
      </w:r>
      <w:r w:rsidR="00EF1C89" w:rsidRPr="00E26457">
        <w:rPr>
          <w:rFonts w:ascii="Cambria" w:hAnsi="Cambria"/>
          <w:i/>
        </w:rPr>
        <w:t>ROA</w:t>
      </w:r>
      <w:r w:rsidR="001C6FB4" w:rsidRPr="00E26457">
        <w:rPr>
          <w:rFonts w:ascii="Cambria" w:hAnsi="Cambria"/>
        </w:rPr>
        <w:t xml:space="preserve"> yang tinggi mengindikasikan bahwa perusahaan tersebut menguntungkan. Profitabilitas perusahaan berkorelasi langsung dengan </w:t>
      </w:r>
      <w:r w:rsidR="00EF1C89" w:rsidRPr="00E26457">
        <w:rPr>
          <w:rFonts w:ascii="Cambria" w:hAnsi="Cambria"/>
          <w:i/>
        </w:rPr>
        <w:t>ROE</w:t>
      </w:r>
      <w:r w:rsidR="001C6FB4" w:rsidRPr="00E26457">
        <w:rPr>
          <w:rFonts w:ascii="Cambria" w:hAnsi="Cambria"/>
        </w:rPr>
        <w:t xml:space="preserve">-nya. </w:t>
      </w:r>
      <w:r w:rsidR="00EF1C89" w:rsidRPr="00E26457">
        <w:rPr>
          <w:rFonts w:ascii="Cambria" w:hAnsi="Cambria"/>
          <w:i/>
        </w:rPr>
        <w:t>ROE</w:t>
      </w:r>
      <w:r w:rsidR="001C6FB4" w:rsidRPr="00E26457">
        <w:rPr>
          <w:rFonts w:ascii="Cambria" w:hAnsi="Cambria"/>
        </w:rPr>
        <w:t xml:space="preserve"> sering kali disajikan dalam bentuk persentase. Maka </w:t>
      </w:r>
      <w:r w:rsidR="00EF1C89" w:rsidRPr="00E26457">
        <w:rPr>
          <w:rFonts w:ascii="Cambria" w:hAnsi="Cambria"/>
          <w:i/>
        </w:rPr>
        <w:t>ROE</w:t>
      </w:r>
      <w:r w:rsidR="001C6FB4" w:rsidRPr="00E26457">
        <w:rPr>
          <w:rFonts w:ascii="Cambria" w:hAnsi="Cambria"/>
        </w:rPr>
        <w:t xml:space="preserve"> yang lebih tinggi akan menghasilkan laba bersih yang lebih tinggi untuk bisnis. </w:t>
      </w:r>
      <w:r w:rsidR="00EF1C89" w:rsidRPr="00E26457">
        <w:rPr>
          <w:rFonts w:ascii="Cambria" w:hAnsi="Cambria"/>
          <w:i/>
        </w:rPr>
        <w:t>ROA</w:t>
      </w:r>
      <w:r w:rsidR="001C6FB4" w:rsidRPr="00E26457">
        <w:rPr>
          <w:rFonts w:ascii="Cambria" w:hAnsi="Cambria"/>
        </w:rPr>
        <w:t xml:space="preserve"> adalah metrik yang berguna bagi investor untuk memeriksa ketika melakukan pembelian saham; </w:t>
      </w:r>
      <w:r w:rsidR="00EF1C89" w:rsidRPr="00E26457">
        <w:rPr>
          <w:rFonts w:ascii="Cambria" w:hAnsi="Cambria"/>
          <w:i/>
        </w:rPr>
        <w:t>ROE</w:t>
      </w:r>
      <w:r w:rsidR="001C6FB4" w:rsidRPr="00E26457">
        <w:rPr>
          <w:rFonts w:ascii="Cambria" w:hAnsi="Cambria"/>
        </w:rPr>
        <w:t xml:space="preserve"> yang lebih tinggi </w:t>
      </w:r>
      <w:r w:rsidR="008744A4" w:rsidRPr="00E26457">
        <w:rPr>
          <w:rFonts w:ascii="Cambria" w:hAnsi="Cambria"/>
        </w:rPr>
        <w:t>memperlihatkan bila</w:t>
      </w:r>
      <w:r w:rsidR="001C6FB4" w:rsidRPr="00E26457">
        <w:rPr>
          <w:rFonts w:ascii="Cambria" w:hAnsi="Cambria"/>
        </w:rPr>
        <w:t xml:space="preserve"> perusahaan melakukan pekerjaan yang baik dalam mengubah modal pemegang saham menjadi laba</w:t>
      </w:r>
      <w:r w:rsidRPr="00E26457">
        <w:rPr>
          <w:rFonts w:ascii="Cambria" w:hAnsi="Cambria"/>
        </w:rPr>
        <w:t>.</w:t>
      </w:r>
    </w:p>
    <w:p w14:paraId="7E352886" w14:textId="77777777" w:rsidR="00B86803" w:rsidRPr="00E26457" w:rsidRDefault="00B86803" w:rsidP="00B86803">
      <w:pPr>
        <w:spacing w:after="0" w:line="240" w:lineRule="auto"/>
        <w:rPr>
          <w:rFonts w:ascii="Cambria" w:hAnsi="Cambria"/>
        </w:rPr>
      </w:pPr>
    </w:p>
    <w:p w14:paraId="6FDE0BC2" w14:textId="4F40A635" w:rsidR="0079333D" w:rsidRPr="00E26457" w:rsidRDefault="0079333D" w:rsidP="00B86803">
      <w:pPr>
        <w:spacing w:after="0" w:line="240" w:lineRule="auto"/>
        <w:rPr>
          <w:rFonts w:ascii="Cambria" w:hAnsi="Cambria"/>
          <w:b/>
          <w:bCs/>
          <w:i/>
        </w:rPr>
      </w:pPr>
      <w:r w:rsidRPr="00E26457">
        <w:rPr>
          <w:rFonts w:ascii="Cambria" w:hAnsi="Cambria"/>
          <w:b/>
          <w:bCs/>
          <w:i/>
        </w:rPr>
        <w:t>Net Profit Margin (</w:t>
      </w:r>
      <w:r w:rsidR="00EF1C89" w:rsidRPr="00E26457">
        <w:rPr>
          <w:rFonts w:ascii="Cambria" w:hAnsi="Cambria"/>
          <w:b/>
          <w:bCs/>
          <w:i/>
        </w:rPr>
        <w:t>NPM</w:t>
      </w:r>
      <w:r w:rsidRPr="00E26457">
        <w:rPr>
          <w:rFonts w:ascii="Cambria" w:hAnsi="Cambria"/>
          <w:b/>
          <w:bCs/>
          <w:i/>
        </w:rPr>
        <w:t>)</w:t>
      </w:r>
      <w:r w:rsidRPr="00E26457">
        <w:rPr>
          <w:rFonts w:ascii="Cambria" w:hAnsi="Cambria"/>
          <w:b/>
          <w:bCs/>
        </w:rPr>
        <w:t xml:space="preserve"> </w:t>
      </w:r>
    </w:p>
    <w:p w14:paraId="037A012E" w14:textId="5927B550" w:rsidR="006005CE" w:rsidRPr="00E26457" w:rsidRDefault="00EF1C89" w:rsidP="00F42CB5">
      <w:pPr>
        <w:spacing w:after="0" w:line="240" w:lineRule="auto"/>
        <w:ind w:firstLine="576"/>
        <w:jc w:val="both"/>
        <w:rPr>
          <w:rFonts w:ascii="Cambria" w:hAnsi="Cambria"/>
        </w:rPr>
      </w:pPr>
      <w:r w:rsidRPr="00E26457">
        <w:rPr>
          <w:rFonts w:ascii="Cambria" w:hAnsi="Cambria"/>
          <w:i/>
          <w:iCs/>
        </w:rPr>
        <w:t>NPM</w:t>
      </w:r>
      <w:r w:rsidR="001C6FB4" w:rsidRPr="00E26457">
        <w:rPr>
          <w:rFonts w:ascii="Cambria" w:hAnsi="Cambria"/>
          <w:iCs/>
        </w:rPr>
        <w:t xml:space="preserve"> </w:t>
      </w:r>
      <w:r w:rsidR="008744A4" w:rsidRPr="00E26457">
        <w:rPr>
          <w:rFonts w:ascii="Cambria" w:hAnsi="Cambria"/>
          <w:iCs/>
        </w:rPr>
        <w:t>memperlihatkan</w:t>
      </w:r>
      <w:r w:rsidR="001C6FB4" w:rsidRPr="00E26457">
        <w:rPr>
          <w:rFonts w:ascii="Cambria" w:hAnsi="Cambria"/>
          <w:iCs/>
        </w:rPr>
        <w:t xml:space="preserve"> berapa persen dari penjualan yang digunakan untuk menghasilkan laba bersih. Nilai </w:t>
      </w:r>
      <w:r w:rsidRPr="00E26457">
        <w:rPr>
          <w:rFonts w:ascii="Cambria" w:hAnsi="Cambria"/>
          <w:i/>
          <w:iCs/>
        </w:rPr>
        <w:t>NPM</w:t>
      </w:r>
      <w:r w:rsidR="001C6FB4" w:rsidRPr="00E26457">
        <w:rPr>
          <w:rFonts w:ascii="Cambria" w:hAnsi="Cambria"/>
          <w:iCs/>
        </w:rPr>
        <w:t xml:space="preserve"> yang lebih tinggi mengindikasikan bahwa investor lebih percaya diri dengan kemampuan perusahaan untuk menghasilkan laba atas investasi mereka, yang pada gilirannya akan meningkatkan harga saham.</w:t>
      </w:r>
      <w:r w:rsidR="0079333D" w:rsidRPr="00E26457">
        <w:rPr>
          <w:rFonts w:ascii="Cambria" w:hAnsi="Cambria"/>
        </w:rPr>
        <w:t xml:space="preserve"> (Rahmani, 2019).</w:t>
      </w:r>
    </w:p>
    <w:p w14:paraId="61B499CC" w14:textId="77777777" w:rsidR="0058798B" w:rsidRPr="00E26457" w:rsidRDefault="0058798B" w:rsidP="00F42CB5">
      <w:pPr>
        <w:spacing w:after="0" w:line="240" w:lineRule="auto"/>
        <w:ind w:firstLine="576"/>
        <w:jc w:val="both"/>
        <w:rPr>
          <w:rFonts w:ascii="Cambria" w:hAnsi="Cambria"/>
        </w:rPr>
      </w:pPr>
    </w:p>
    <w:p w14:paraId="0A4707EF" w14:textId="2162AC8D" w:rsidR="002D7EF6" w:rsidRPr="00E26457" w:rsidRDefault="0058798B" w:rsidP="00F42CB5">
      <w:pPr>
        <w:spacing w:after="0" w:line="240" w:lineRule="auto"/>
        <w:rPr>
          <w:rFonts w:ascii="Cambria" w:hAnsi="Cambria"/>
          <w:b/>
          <w:bCs/>
        </w:rPr>
      </w:pPr>
      <w:r w:rsidRPr="00E26457">
        <w:rPr>
          <w:rFonts w:ascii="Cambria" w:hAnsi="Cambria"/>
          <w:b/>
          <w:bCs/>
        </w:rPr>
        <w:t>Hipotesis</w:t>
      </w:r>
    </w:p>
    <w:p w14:paraId="7DF6933D" w14:textId="77777777" w:rsidR="002D7EF6" w:rsidRPr="00E26457" w:rsidRDefault="002D7EF6" w:rsidP="00F42CB5">
      <w:pPr>
        <w:spacing w:after="0" w:line="240" w:lineRule="auto"/>
        <w:jc w:val="both"/>
        <w:rPr>
          <w:rFonts w:ascii="Cambria" w:hAnsi="Cambria"/>
          <w:b/>
          <w:bCs/>
        </w:rPr>
      </w:pPr>
      <w:bookmarkStart w:id="1" w:name="_Hlk176061378"/>
      <w:r w:rsidRPr="00E26457">
        <w:rPr>
          <w:rFonts w:ascii="Cambria" w:hAnsi="Cambria"/>
          <w:b/>
          <w:bCs/>
        </w:rPr>
        <w:t xml:space="preserve">Pengaruh </w:t>
      </w:r>
      <w:r w:rsidRPr="00E26457">
        <w:rPr>
          <w:rFonts w:ascii="Cambria" w:hAnsi="Cambria"/>
          <w:b/>
          <w:bCs/>
          <w:i/>
        </w:rPr>
        <w:t>Return On Asset</w:t>
      </w:r>
      <w:r w:rsidRPr="00E26457">
        <w:rPr>
          <w:rFonts w:ascii="Cambria" w:hAnsi="Cambria"/>
          <w:b/>
          <w:bCs/>
        </w:rPr>
        <w:t xml:space="preserve"> terhadap Harga Saham </w:t>
      </w:r>
    </w:p>
    <w:bookmarkEnd w:id="1"/>
    <w:p w14:paraId="777B8BF5" w14:textId="1F51F12F" w:rsidR="002D7EF6" w:rsidRPr="00E26457" w:rsidRDefault="00EF1C89" w:rsidP="00F42CB5">
      <w:pPr>
        <w:spacing w:after="0" w:line="240" w:lineRule="auto"/>
        <w:ind w:firstLine="720"/>
        <w:jc w:val="both"/>
        <w:rPr>
          <w:rFonts w:ascii="Cambria" w:hAnsi="Cambria"/>
        </w:rPr>
      </w:pPr>
      <w:r w:rsidRPr="00E26457">
        <w:rPr>
          <w:rFonts w:ascii="Cambria" w:hAnsi="Cambria"/>
          <w:i/>
          <w:iCs/>
        </w:rPr>
        <w:t>ROA</w:t>
      </w:r>
      <w:r w:rsidR="001C6FB4" w:rsidRPr="00E26457">
        <w:rPr>
          <w:rFonts w:ascii="Cambria" w:hAnsi="Cambria"/>
          <w:iCs/>
        </w:rPr>
        <w:t xml:space="preserve"> memperlihatkan seberapa baik sebuah bisnis dapat mengubah kekayaannya, atau total aset, menjadi laba. Tingkat pengembalian yang meningkat, yang diukur dengan </w:t>
      </w:r>
      <w:r w:rsidRPr="00E26457">
        <w:rPr>
          <w:rFonts w:ascii="Cambria" w:hAnsi="Cambria"/>
          <w:i/>
          <w:iCs/>
        </w:rPr>
        <w:t>ROA</w:t>
      </w:r>
      <w:r w:rsidR="001C6FB4" w:rsidRPr="00E26457">
        <w:rPr>
          <w:rFonts w:ascii="Cambria" w:hAnsi="Cambria"/>
          <w:iCs/>
        </w:rPr>
        <w:t xml:space="preserve">, merupakan indikasi peningkatan kesuksesan bisnis. Menurut penelitian yang dikutip oleh Ealsa Fifit Mualimah Qustriana dan Susanti Dwi Ilhami (2024), </w:t>
      </w:r>
      <w:r w:rsidRPr="00E26457">
        <w:rPr>
          <w:rFonts w:ascii="Cambria" w:hAnsi="Cambria"/>
          <w:i/>
          <w:iCs/>
        </w:rPr>
        <w:t>ROA</w:t>
      </w:r>
      <w:r w:rsidR="001C6FB4" w:rsidRPr="00E26457">
        <w:rPr>
          <w:rFonts w:ascii="Cambria" w:hAnsi="Cambria"/>
          <w:iCs/>
        </w:rPr>
        <w:t xml:space="preserve"> memang berpengaruh terhadap harga saham. Temuan Sabrina, Sasi dan Lestari P, Dina (2020) yang menemukan bahwa </w:t>
      </w:r>
      <w:r w:rsidRPr="00E26457">
        <w:rPr>
          <w:rFonts w:ascii="Cambria" w:hAnsi="Cambria"/>
          <w:i/>
          <w:iCs/>
        </w:rPr>
        <w:t>ROA</w:t>
      </w:r>
      <w:r w:rsidR="001C6FB4" w:rsidRPr="00E26457">
        <w:rPr>
          <w:rFonts w:ascii="Cambria" w:hAnsi="Cambria"/>
          <w:iCs/>
        </w:rPr>
        <w:t xml:space="preserve"> berdampak pada harga saham memberikan kepercayaan terhadap gagasan ini</w:t>
      </w:r>
      <w:r w:rsidR="002D7EF6" w:rsidRPr="00E26457">
        <w:rPr>
          <w:rFonts w:ascii="Cambria" w:hAnsi="Cambria"/>
        </w:rPr>
        <w:t>.</w:t>
      </w:r>
    </w:p>
    <w:p w14:paraId="59B53F7F" w14:textId="77777777" w:rsidR="002D7EF6" w:rsidRPr="00E26457" w:rsidRDefault="002D7EF6" w:rsidP="00F42CB5">
      <w:pPr>
        <w:spacing w:after="0" w:line="240" w:lineRule="auto"/>
        <w:jc w:val="both"/>
        <w:rPr>
          <w:rFonts w:ascii="Cambria" w:hAnsi="Cambria"/>
          <w:b/>
          <w:bCs/>
        </w:rPr>
      </w:pPr>
      <w:r w:rsidRPr="00E26457">
        <w:rPr>
          <w:rFonts w:ascii="Cambria" w:hAnsi="Cambria"/>
          <w:b/>
          <w:bCs/>
        </w:rPr>
        <w:t xml:space="preserve">H1 : </w:t>
      </w:r>
      <w:r w:rsidRPr="00E26457">
        <w:rPr>
          <w:rFonts w:ascii="Cambria" w:hAnsi="Cambria"/>
          <w:b/>
          <w:bCs/>
          <w:i/>
        </w:rPr>
        <w:t>Return On Asset</w:t>
      </w:r>
      <w:r w:rsidRPr="00E26457">
        <w:rPr>
          <w:rFonts w:ascii="Cambria" w:hAnsi="Cambria"/>
          <w:b/>
          <w:bCs/>
        </w:rPr>
        <w:t xml:space="preserve"> berpengaruh terhadap Harga Saham.</w:t>
      </w:r>
    </w:p>
    <w:p w14:paraId="6B5E1737" w14:textId="77777777" w:rsidR="002D7EF6" w:rsidRPr="00E26457" w:rsidRDefault="002D7EF6" w:rsidP="00F42CB5">
      <w:pPr>
        <w:spacing w:after="0" w:line="240" w:lineRule="auto"/>
        <w:jc w:val="both"/>
        <w:rPr>
          <w:rFonts w:ascii="Cambria" w:hAnsi="Cambria"/>
          <w:b/>
          <w:bCs/>
        </w:rPr>
      </w:pPr>
    </w:p>
    <w:p w14:paraId="1951D0F8" w14:textId="77777777" w:rsidR="002D7EF6" w:rsidRPr="00E26457" w:rsidRDefault="002D7EF6" w:rsidP="00F42CB5">
      <w:pPr>
        <w:spacing w:after="0" w:line="240" w:lineRule="auto"/>
        <w:jc w:val="both"/>
        <w:rPr>
          <w:rFonts w:ascii="Cambria" w:hAnsi="Cambria"/>
          <w:b/>
          <w:bCs/>
        </w:rPr>
      </w:pPr>
      <w:bookmarkStart w:id="2" w:name="_Hlk176061442"/>
      <w:r w:rsidRPr="00E26457">
        <w:rPr>
          <w:rFonts w:ascii="Cambria" w:hAnsi="Cambria"/>
          <w:b/>
          <w:bCs/>
        </w:rPr>
        <w:t xml:space="preserve">Pengaruh </w:t>
      </w:r>
      <w:r w:rsidRPr="00E26457">
        <w:rPr>
          <w:rFonts w:ascii="Cambria" w:hAnsi="Cambria"/>
          <w:b/>
          <w:bCs/>
          <w:i/>
        </w:rPr>
        <w:t xml:space="preserve">Earning Per Share </w:t>
      </w:r>
      <w:r w:rsidRPr="00E26457">
        <w:rPr>
          <w:rFonts w:ascii="Cambria" w:hAnsi="Cambria"/>
          <w:b/>
          <w:bCs/>
        </w:rPr>
        <w:t xml:space="preserve">terhadap Harga Saham </w:t>
      </w:r>
    </w:p>
    <w:bookmarkEnd w:id="2"/>
    <w:p w14:paraId="72CA67CC" w14:textId="63F6C9FE" w:rsidR="002D7EF6" w:rsidRPr="00E26457" w:rsidRDefault="00EF1C89" w:rsidP="00F42CB5">
      <w:pPr>
        <w:spacing w:after="0" w:line="240" w:lineRule="auto"/>
        <w:ind w:firstLine="720"/>
        <w:jc w:val="both"/>
        <w:rPr>
          <w:rFonts w:ascii="Cambria" w:hAnsi="Cambria"/>
        </w:rPr>
      </w:pPr>
      <w:r w:rsidRPr="00E26457">
        <w:rPr>
          <w:rFonts w:ascii="Cambria" w:hAnsi="Cambria"/>
          <w:i/>
          <w:iCs/>
        </w:rPr>
        <w:t>EPS</w:t>
      </w:r>
      <w:r w:rsidR="001C6FB4" w:rsidRPr="00E26457">
        <w:rPr>
          <w:rFonts w:ascii="Cambria" w:hAnsi="Cambria"/>
          <w:iCs/>
        </w:rPr>
        <w:t xml:space="preserve"> adalah cara untuk menentukan seberapa besar porsi laba bersih perusahaan yang dapat didistribusikan kepada para pemegang saham setiap tahunnya. Salah satu cara untuk mengevaluasi kesehatan finansial perusahaan adalah dengan melihat </w:t>
      </w:r>
      <w:r w:rsidRPr="00E26457">
        <w:rPr>
          <w:rFonts w:ascii="Cambria" w:hAnsi="Cambria"/>
          <w:i/>
          <w:iCs/>
        </w:rPr>
        <w:t>EPS</w:t>
      </w:r>
      <w:r w:rsidR="001C6FB4" w:rsidRPr="00E26457">
        <w:rPr>
          <w:rFonts w:ascii="Cambria" w:hAnsi="Cambria"/>
          <w:iCs/>
        </w:rPr>
        <w:t xml:space="preserve">. Sangat penting karena dapat menarik perhatian calon investor, yang kemungkinan besar akan meningkatkan harga saham. </w:t>
      </w:r>
      <w:r w:rsidR="008744A4" w:rsidRPr="00E26457">
        <w:rPr>
          <w:rFonts w:ascii="Cambria" w:hAnsi="Cambria"/>
          <w:iCs/>
        </w:rPr>
        <w:t>Studi didukung</w:t>
      </w:r>
      <w:r w:rsidR="001C6FB4" w:rsidRPr="00E26457">
        <w:rPr>
          <w:rFonts w:ascii="Cambria" w:hAnsi="Cambria"/>
          <w:iCs/>
        </w:rPr>
        <w:t xml:space="preserve"> oleh Sabrina, Sasi dan Lestari P, Dina (2020) Laba per lembar saham berpengaruh positif terhadap harga saham. Penelitian Susanti Dwi Ilhami dan Ealsa Fifit Mualimah Qustriana (2024) juga mendukung hal tersebut. Harga saham dipengaruhi oleh laba per saham perusahaan</w:t>
      </w:r>
      <w:r w:rsidR="002D7EF6" w:rsidRPr="00E26457">
        <w:rPr>
          <w:rFonts w:ascii="Cambria" w:hAnsi="Cambria"/>
        </w:rPr>
        <w:t>.</w:t>
      </w:r>
    </w:p>
    <w:p w14:paraId="59FCF5AB" w14:textId="77777777" w:rsidR="002D7EF6" w:rsidRPr="00E26457" w:rsidRDefault="002D7EF6" w:rsidP="00F42CB5">
      <w:pPr>
        <w:spacing w:after="0" w:line="240" w:lineRule="auto"/>
        <w:jc w:val="both"/>
        <w:rPr>
          <w:rFonts w:ascii="Cambria" w:hAnsi="Cambria"/>
          <w:b/>
          <w:bCs/>
        </w:rPr>
      </w:pPr>
      <w:r w:rsidRPr="00E26457">
        <w:rPr>
          <w:rFonts w:ascii="Cambria" w:hAnsi="Cambria"/>
          <w:b/>
          <w:bCs/>
        </w:rPr>
        <w:t xml:space="preserve">H2 : </w:t>
      </w:r>
      <w:r w:rsidRPr="00E26457">
        <w:rPr>
          <w:rFonts w:ascii="Cambria" w:hAnsi="Cambria"/>
          <w:b/>
          <w:bCs/>
          <w:i/>
        </w:rPr>
        <w:t xml:space="preserve">Earning Per Share </w:t>
      </w:r>
      <w:r w:rsidRPr="00E26457">
        <w:rPr>
          <w:rFonts w:ascii="Cambria" w:hAnsi="Cambria"/>
          <w:b/>
          <w:bCs/>
        </w:rPr>
        <w:t>berpengaruh terhadap Harga Saham.</w:t>
      </w:r>
    </w:p>
    <w:p w14:paraId="04732211" w14:textId="77777777" w:rsidR="002D7EF6" w:rsidRPr="00E26457" w:rsidRDefault="002D7EF6" w:rsidP="00F42CB5">
      <w:pPr>
        <w:spacing w:after="0" w:line="240" w:lineRule="auto"/>
        <w:jc w:val="both"/>
        <w:rPr>
          <w:rFonts w:ascii="Cambria" w:hAnsi="Cambria"/>
          <w:b/>
          <w:bCs/>
          <w:i/>
        </w:rPr>
      </w:pPr>
    </w:p>
    <w:p w14:paraId="58698500" w14:textId="25386D64" w:rsidR="002D7EF6" w:rsidRPr="00E26457" w:rsidRDefault="002D7EF6" w:rsidP="00F42CB5">
      <w:pPr>
        <w:spacing w:after="0" w:line="240" w:lineRule="auto"/>
        <w:jc w:val="both"/>
        <w:rPr>
          <w:rFonts w:ascii="Cambria" w:hAnsi="Cambria"/>
          <w:b/>
          <w:bCs/>
        </w:rPr>
      </w:pPr>
      <w:bookmarkStart w:id="3" w:name="_Hlk176061084"/>
      <w:r w:rsidRPr="00E26457">
        <w:rPr>
          <w:rFonts w:ascii="Cambria" w:hAnsi="Cambria"/>
          <w:b/>
          <w:bCs/>
          <w:iCs/>
        </w:rPr>
        <w:t>P</w:t>
      </w:r>
      <w:bookmarkStart w:id="4" w:name="_Hlk176061528"/>
      <w:r w:rsidRPr="00E26457">
        <w:rPr>
          <w:rFonts w:ascii="Cambria" w:hAnsi="Cambria"/>
          <w:b/>
          <w:bCs/>
          <w:iCs/>
        </w:rPr>
        <w:t>engaruh</w:t>
      </w:r>
      <w:bookmarkEnd w:id="3"/>
      <w:r w:rsidRPr="00E26457">
        <w:rPr>
          <w:rFonts w:ascii="Cambria" w:hAnsi="Cambria"/>
          <w:b/>
          <w:bCs/>
          <w:iCs/>
        </w:rPr>
        <w:t xml:space="preserve"> </w:t>
      </w:r>
      <w:r w:rsidRPr="00E26457">
        <w:rPr>
          <w:rFonts w:ascii="Cambria" w:hAnsi="Cambria"/>
          <w:b/>
          <w:bCs/>
          <w:i/>
        </w:rPr>
        <w:t xml:space="preserve">Return On Equity  </w:t>
      </w:r>
      <w:r w:rsidRPr="00E26457">
        <w:rPr>
          <w:rFonts w:ascii="Cambria" w:hAnsi="Cambria"/>
          <w:b/>
          <w:bCs/>
        </w:rPr>
        <w:t xml:space="preserve">terhadap Harga Saham </w:t>
      </w:r>
      <w:bookmarkEnd w:id="4"/>
    </w:p>
    <w:p w14:paraId="63202FB5" w14:textId="5A7C5C82" w:rsidR="002D7EF6" w:rsidRPr="00E26457" w:rsidRDefault="001C6FB4" w:rsidP="00F42CB5">
      <w:pPr>
        <w:spacing w:after="0" w:line="240" w:lineRule="auto"/>
        <w:ind w:firstLine="720"/>
        <w:jc w:val="both"/>
        <w:rPr>
          <w:rFonts w:ascii="Cambria" w:hAnsi="Cambria"/>
          <w:b/>
          <w:bCs/>
        </w:rPr>
      </w:pPr>
      <w:r w:rsidRPr="00E26457">
        <w:rPr>
          <w:rFonts w:ascii="Cambria" w:hAnsi="Cambria"/>
        </w:rPr>
        <w:t xml:space="preserve">Salah satu indikator kesehatan keuangan bisnis adalah </w:t>
      </w:r>
      <w:r w:rsidR="00EF1C89" w:rsidRPr="00E26457">
        <w:rPr>
          <w:rFonts w:ascii="Cambria" w:hAnsi="Cambria"/>
          <w:i/>
        </w:rPr>
        <w:t>ROE</w:t>
      </w:r>
      <w:r w:rsidRPr="00E26457">
        <w:rPr>
          <w:rFonts w:ascii="Cambria" w:hAnsi="Cambria"/>
        </w:rPr>
        <w:t xml:space="preserve"> (Wira, 2020: 84). Ketika </w:t>
      </w:r>
      <w:r w:rsidR="00EF1C89" w:rsidRPr="00E26457">
        <w:rPr>
          <w:rFonts w:ascii="Cambria" w:hAnsi="Cambria"/>
          <w:i/>
        </w:rPr>
        <w:t>ROE</w:t>
      </w:r>
      <w:r w:rsidRPr="00E26457">
        <w:rPr>
          <w:rFonts w:ascii="Cambria" w:hAnsi="Cambria"/>
        </w:rPr>
        <w:t xml:space="preserve"> tinggi, berarti perusahaan menghasilkan banyak uang. </w:t>
      </w:r>
      <w:r w:rsidR="00EF1C89" w:rsidRPr="00E26457">
        <w:rPr>
          <w:rFonts w:ascii="Cambria" w:hAnsi="Cambria"/>
          <w:i/>
        </w:rPr>
        <w:t>ROE</w:t>
      </w:r>
      <w:r w:rsidRPr="00E26457">
        <w:rPr>
          <w:rFonts w:ascii="Cambria" w:hAnsi="Cambria"/>
        </w:rPr>
        <w:t xml:space="preserve"> adalah ukuran profitabilitas perusahaan. </w:t>
      </w:r>
      <w:r w:rsidR="00EF1C89" w:rsidRPr="00E26457">
        <w:rPr>
          <w:rFonts w:ascii="Cambria" w:hAnsi="Cambria"/>
          <w:i/>
        </w:rPr>
        <w:t>ROE</w:t>
      </w:r>
      <w:r w:rsidRPr="00E26457">
        <w:rPr>
          <w:rFonts w:ascii="Cambria" w:hAnsi="Cambria"/>
        </w:rPr>
        <w:t xml:space="preserve"> sering kali dinyatakan dalam bentuk persentase. Sebaliknya, laba dapat dianggap sebagai proporsi laba bersih perusahaan yang dapat diakses oleh pemegang saham biasa dibagi dengan ekuitas rata-rata untuk tahun tersebut. Keberhasilan perusahaan dapat diukur sebagian dengan rasio ini. Investor yang membeli saham akan tertarik dengan statistik profitabilitas ini. Profitabilitas perusahaan adalah indikator yang baik untuk melihat potensi perusahaan menghasilkan laba. Ketika profitabilitas naik, harga saham juga naik. Kinerja keuangan perusahaan dapat memberikan gambaran sekilas kepada calon investor mengenai kemakmuran perusahaan di masa depan. Bagi investor, keputusan untuk membeli, menahan, atau menjual saham adalah keputusan yang krusial. Penelitian Daulat Freddy Simanjuntak (2021) menegaskan hal ini dengan menunjukkan bahwa </w:t>
      </w:r>
      <w:r w:rsidR="00EF1C89" w:rsidRPr="00E26457">
        <w:rPr>
          <w:rFonts w:ascii="Cambria" w:hAnsi="Cambria"/>
          <w:i/>
        </w:rPr>
        <w:t>ROE</w:t>
      </w:r>
      <w:r w:rsidRPr="00E26457">
        <w:rPr>
          <w:rFonts w:ascii="Cambria" w:hAnsi="Cambria"/>
        </w:rPr>
        <w:t xml:space="preserve"> berdampak pada harga saham</w:t>
      </w:r>
      <w:r w:rsidR="002D7EF6" w:rsidRPr="00E26457">
        <w:rPr>
          <w:rFonts w:ascii="Cambria" w:hAnsi="Cambria"/>
        </w:rPr>
        <w:t xml:space="preserve">. Dan teori tersebut di dukung oleh penelitian Sabrina, Sasi and Lestari P, Dina (2020) </w:t>
      </w:r>
      <w:r w:rsidR="00EF1C89" w:rsidRPr="00E26457">
        <w:rPr>
          <w:rFonts w:ascii="Cambria" w:hAnsi="Cambria"/>
          <w:i/>
        </w:rPr>
        <w:t>ROE</w:t>
      </w:r>
      <w:r w:rsidRPr="00E26457">
        <w:rPr>
          <w:rFonts w:ascii="Cambria" w:hAnsi="Cambria"/>
        </w:rPr>
        <w:t xml:space="preserve"> berdampak</w:t>
      </w:r>
      <w:r w:rsidR="002D7EF6" w:rsidRPr="00E26457">
        <w:rPr>
          <w:rFonts w:ascii="Cambria" w:hAnsi="Cambria"/>
        </w:rPr>
        <w:t xml:space="preserve"> </w:t>
      </w:r>
      <w:r w:rsidRPr="00E26457">
        <w:rPr>
          <w:rFonts w:ascii="Cambria" w:hAnsi="Cambria"/>
        </w:rPr>
        <w:t>pada</w:t>
      </w:r>
      <w:r w:rsidR="002D7EF6" w:rsidRPr="00E26457">
        <w:rPr>
          <w:rFonts w:ascii="Cambria" w:hAnsi="Cambria"/>
        </w:rPr>
        <w:t>Harga Saham.</w:t>
      </w:r>
    </w:p>
    <w:p w14:paraId="64D3235F" w14:textId="77777777" w:rsidR="002D7EF6" w:rsidRPr="00E26457" w:rsidRDefault="002D7EF6" w:rsidP="00F42CB5">
      <w:pPr>
        <w:spacing w:after="0" w:line="240" w:lineRule="auto"/>
        <w:jc w:val="both"/>
        <w:rPr>
          <w:rFonts w:ascii="Cambria" w:hAnsi="Cambria"/>
          <w:b/>
          <w:bCs/>
        </w:rPr>
      </w:pPr>
      <w:r w:rsidRPr="00E26457">
        <w:rPr>
          <w:rFonts w:ascii="Cambria" w:hAnsi="Cambria"/>
          <w:b/>
          <w:bCs/>
        </w:rPr>
        <w:t xml:space="preserve">H3 : </w:t>
      </w:r>
      <w:r w:rsidRPr="00E26457">
        <w:rPr>
          <w:rFonts w:ascii="Cambria" w:hAnsi="Cambria"/>
          <w:b/>
          <w:bCs/>
          <w:i/>
        </w:rPr>
        <w:t xml:space="preserve">Return On Equity  </w:t>
      </w:r>
      <w:r w:rsidRPr="00E26457">
        <w:rPr>
          <w:rFonts w:ascii="Cambria" w:hAnsi="Cambria"/>
          <w:b/>
          <w:bCs/>
        </w:rPr>
        <w:t>berpengaruh terhadap Harga Saham.</w:t>
      </w:r>
    </w:p>
    <w:p w14:paraId="0E449BF5" w14:textId="77777777" w:rsidR="002D7EF6" w:rsidRPr="00E26457" w:rsidRDefault="002D7EF6" w:rsidP="00F42CB5">
      <w:pPr>
        <w:spacing w:after="0" w:line="240" w:lineRule="auto"/>
        <w:jc w:val="both"/>
        <w:rPr>
          <w:rFonts w:ascii="Cambria" w:hAnsi="Cambria"/>
          <w:b/>
          <w:bCs/>
          <w:i/>
        </w:rPr>
      </w:pPr>
    </w:p>
    <w:p w14:paraId="1300CD94" w14:textId="121E24CA" w:rsidR="002D7EF6" w:rsidRPr="00E26457" w:rsidRDefault="002D7EF6" w:rsidP="00F42CB5">
      <w:pPr>
        <w:spacing w:after="0" w:line="240" w:lineRule="auto"/>
        <w:jc w:val="both"/>
        <w:rPr>
          <w:rFonts w:ascii="Cambria" w:hAnsi="Cambria"/>
          <w:b/>
          <w:bCs/>
        </w:rPr>
      </w:pPr>
      <w:bookmarkStart w:id="5" w:name="_Hlk176061567"/>
      <w:r w:rsidRPr="00E26457">
        <w:rPr>
          <w:rFonts w:ascii="Cambria" w:hAnsi="Cambria"/>
          <w:b/>
          <w:bCs/>
          <w:iCs/>
        </w:rPr>
        <w:t>Pengaruh</w:t>
      </w:r>
      <w:r w:rsidRPr="00E26457">
        <w:rPr>
          <w:rFonts w:ascii="Cambria" w:hAnsi="Cambria"/>
          <w:b/>
          <w:bCs/>
          <w:i/>
        </w:rPr>
        <w:t xml:space="preserve"> Net Profit Margin </w:t>
      </w:r>
      <w:r w:rsidRPr="00E26457">
        <w:rPr>
          <w:rFonts w:ascii="Cambria" w:hAnsi="Cambria"/>
          <w:b/>
          <w:bCs/>
        </w:rPr>
        <w:t xml:space="preserve">terhadap Harga Saham </w:t>
      </w:r>
    </w:p>
    <w:bookmarkEnd w:id="5"/>
    <w:p w14:paraId="20DB66FB" w14:textId="6B950F21" w:rsidR="002D7EF6" w:rsidRPr="00E26457" w:rsidRDefault="00DB4D42" w:rsidP="00F42CB5">
      <w:pPr>
        <w:spacing w:after="0" w:line="240" w:lineRule="auto"/>
        <w:ind w:firstLine="720"/>
        <w:jc w:val="both"/>
        <w:rPr>
          <w:rFonts w:ascii="Cambria" w:hAnsi="Cambria"/>
          <w:b/>
          <w:bCs/>
        </w:rPr>
      </w:pPr>
      <w:r w:rsidRPr="00E26457">
        <w:rPr>
          <w:rFonts w:ascii="Cambria" w:hAnsi="Cambria"/>
        </w:rPr>
        <w:t xml:space="preserve">Rasio laba bersih bisnis terhadap penjualan bersihnya disebut margin laba bersih, atau </w:t>
      </w:r>
      <w:r w:rsidR="00EF1C89" w:rsidRPr="00E26457">
        <w:rPr>
          <w:rFonts w:ascii="Cambria" w:hAnsi="Cambria"/>
          <w:i/>
        </w:rPr>
        <w:t>NPM</w:t>
      </w:r>
      <w:r w:rsidRPr="00E26457">
        <w:rPr>
          <w:rFonts w:ascii="Cambria" w:hAnsi="Cambria"/>
        </w:rPr>
        <w:t xml:space="preserve">. Bila </w:t>
      </w:r>
      <w:r w:rsidR="00EF1C89" w:rsidRPr="00E26457">
        <w:rPr>
          <w:rFonts w:ascii="Cambria" w:hAnsi="Cambria"/>
          <w:i/>
        </w:rPr>
        <w:t>NPM</w:t>
      </w:r>
      <w:r w:rsidRPr="00E26457">
        <w:rPr>
          <w:rFonts w:ascii="Cambria" w:hAnsi="Cambria"/>
        </w:rPr>
        <w:t xml:space="preserve"> emiten tinggi, berarti bisnisnya berjalan baik dan menarik investor yang ingin membeli sahamnya. Ketika laba bersih perusahaan naik, investor ingin menanamkan lebih banyak uang ke dalam bisnis, sehingga menaikkan harga saham. Harga saham perusahaan turun akibat keengganan investor untuk menanamkan uang ke dalam bisnis karena nilai laba bersih yang menurun. Penelitian Nenenng Faridatul Husna dan Nanan Sunandar (2021) mendukung pernyataan </w:t>
      </w:r>
      <w:r w:rsidR="008744A4" w:rsidRPr="00E26457">
        <w:rPr>
          <w:rFonts w:ascii="Cambria" w:hAnsi="Cambria"/>
        </w:rPr>
        <w:t>bila</w:t>
      </w:r>
      <w:r w:rsidRPr="00E26457">
        <w:rPr>
          <w:rFonts w:ascii="Cambria" w:hAnsi="Cambria"/>
        </w:rPr>
        <w:t xml:space="preserve"> </w:t>
      </w:r>
      <w:r w:rsidR="00EF1C89" w:rsidRPr="00E26457">
        <w:rPr>
          <w:rFonts w:ascii="Cambria" w:hAnsi="Cambria"/>
          <w:i/>
        </w:rPr>
        <w:t>NPM</w:t>
      </w:r>
      <w:r w:rsidRPr="00E26457">
        <w:rPr>
          <w:rFonts w:ascii="Cambria" w:hAnsi="Cambria"/>
        </w:rPr>
        <w:t xml:space="preserve"> </w:t>
      </w:r>
      <w:r w:rsidR="008744A4" w:rsidRPr="00E26457">
        <w:rPr>
          <w:rFonts w:ascii="Cambria" w:hAnsi="Cambria"/>
        </w:rPr>
        <w:t>berdampak pada</w:t>
      </w:r>
      <w:r w:rsidRPr="00E26457">
        <w:rPr>
          <w:rFonts w:ascii="Cambria" w:hAnsi="Cambria"/>
        </w:rPr>
        <w:t xml:space="preserve"> harga saham. Penelitian tentang harga saham yang dilakukan oleh Sabrina, Sasi dan Lestari P, Dina (2020) mendukung pendapat ini</w:t>
      </w:r>
      <w:r w:rsidR="002D7EF6" w:rsidRPr="00E26457">
        <w:rPr>
          <w:rFonts w:ascii="Cambria" w:hAnsi="Cambria"/>
        </w:rPr>
        <w:t xml:space="preserve">. </w:t>
      </w:r>
    </w:p>
    <w:p w14:paraId="078BF903" w14:textId="333DA3B2" w:rsidR="002F6C9D" w:rsidRPr="00E26457" w:rsidRDefault="002D7EF6" w:rsidP="00E26457">
      <w:pPr>
        <w:spacing w:after="0" w:line="240" w:lineRule="auto"/>
        <w:jc w:val="both"/>
        <w:rPr>
          <w:rFonts w:ascii="Cambria" w:hAnsi="Cambria"/>
          <w:b/>
          <w:bCs/>
        </w:rPr>
      </w:pPr>
      <w:r w:rsidRPr="00E26457">
        <w:rPr>
          <w:rFonts w:ascii="Cambria" w:hAnsi="Cambria"/>
          <w:b/>
          <w:bCs/>
        </w:rPr>
        <w:t xml:space="preserve">H4 : </w:t>
      </w:r>
      <w:r w:rsidRPr="00E26457">
        <w:rPr>
          <w:rFonts w:ascii="Cambria" w:hAnsi="Cambria"/>
          <w:b/>
          <w:bCs/>
          <w:i/>
          <w:iCs/>
        </w:rPr>
        <w:t>Net Profit Margin</w:t>
      </w:r>
      <w:r w:rsidRPr="00E26457">
        <w:rPr>
          <w:rFonts w:ascii="Cambria" w:hAnsi="Cambria"/>
          <w:b/>
          <w:bCs/>
        </w:rPr>
        <w:t xml:space="preserve"> berpengaruh terhadap Harga Saham</w:t>
      </w:r>
    </w:p>
    <w:p w14:paraId="0C80599C" w14:textId="77777777" w:rsidR="0079333D" w:rsidRPr="00E26457" w:rsidRDefault="0079333D" w:rsidP="00F42CB5">
      <w:pPr>
        <w:spacing w:after="0" w:line="240" w:lineRule="auto"/>
        <w:ind w:firstLine="720"/>
        <w:jc w:val="both"/>
        <w:rPr>
          <w:rFonts w:ascii="Cambria" w:hAnsi="Cambria"/>
        </w:rPr>
      </w:pPr>
    </w:p>
    <w:tbl>
      <w:tblPr>
        <w:tblW w:w="0" w:type="auto"/>
        <w:shd w:val="clear" w:color="auto" w:fill="D9D9D9"/>
        <w:tblLayout w:type="fixed"/>
        <w:tblLook w:val="04A0" w:firstRow="1" w:lastRow="0" w:firstColumn="1" w:lastColumn="0" w:noHBand="0" w:noVBand="1"/>
      </w:tblPr>
      <w:tblGrid>
        <w:gridCol w:w="8257"/>
        <w:gridCol w:w="248"/>
      </w:tblGrid>
      <w:tr w:rsidR="001053FB" w:rsidRPr="00E26457" w14:paraId="56713545" w14:textId="77777777" w:rsidTr="00AE7D0D">
        <w:trPr>
          <w:trHeight w:val="287"/>
        </w:trPr>
        <w:tc>
          <w:tcPr>
            <w:tcW w:w="8257" w:type="dxa"/>
            <w:shd w:val="clear" w:color="auto" w:fill="D9E2F3" w:themeFill="accent1" w:themeFillTint="33"/>
            <w:vAlign w:val="center"/>
          </w:tcPr>
          <w:p w14:paraId="7A8BEBE4" w14:textId="77777777" w:rsidR="00203DAD" w:rsidRPr="00E26457" w:rsidRDefault="00203DAD" w:rsidP="00F42CB5">
            <w:pPr>
              <w:numPr>
                <w:ilvl w:val="0"/>
                <w:numId w:val="6"/>
              </w:numPr>
              <w:spacing w:after="0" w:line="240" w:lineRule="auto"/>
              <w:ind w:left="460" w:hanging="567"/>
              <w:rPr>
                <w:rFonts w:ascii="Cambria" w:hAnsi="Cambria"/>
                <w:b/>
              </w:rPr>
            </w:pPr>
            <w:r w:rsidRPr="00E26457">
              <w:rPr>
                <w:rFonts w:ascii="Cambria" w:hAnsi="Cambria"/>
                <w:b/>
                <w:noProof/>
              </w:rPr>
              <w:t>Metode</w:t>
            </w:r>
          </w:p>
        </w:tc>
        <w:tc>
          <w:tcPr>
            <w:tcW w:w="248" w:type="dxa"/>
            <w:shd w:val="clear" w:color="auto" w:fill="4472C4" w:themeFill="accent1"/>
          </w:tcPr>
          <w:p w14:paraId="64E59425" w14:textId="77777777" w:rsidR="00203DAD" w:rsidRPr="00E26457" w:rsidRDefault="00203DAD" w:rsidP="00F42CB5">
            <w:pPr>
              <w:spacing w:after="0" w:line="240" w:lineRule="auto"/>
              <w:rPr>
                <w:rFonts w:ascii="Cambria" w:hAnsi="Cambria"/>
                <w:b/>
                <w:noProof/>
              </w:rPr>
            </w:pPr>
          </w:p>
        </w:tc>
      </w:tr>
    </w:tbl>
    <w:p w14:paraId="5752B5EC" w14:textId="77777777" w:rsidR="006005CE" w:rsidRPr="00E26457" w:rsidRDefault="006005CE" w:rsidP="00F42CB5">
      <w:pPr>
        <w:spacing w:after="0" w:line="240" w:lineRule="auto"/>
        <w:ind w:firstLine="576"/>
        <w:jc w:val="both"/>
        <w:rPr>
          <w:rFonts w:ascii="Cambria" w:hAnsi="Cambria"/>
        </w:rPr>
      </w:pPr>
    </w:p>
    <w:p w14:paraId="526A5BFA" w14:textId="1B8BA6F4" w:rsidR="00522EE4" w:rsidRPr="00E26457" w:rsidRDefault="008744A4" w:rsidP="00B86803">
      <w:pPr>
        <w:spacing w:after="0" w:line="240" w:lineRule="auto"/>
        <w:ind w:firstLine="576"/>
        <w:jc w:val="both"/>
        <w:rPr>
          <w:rFonts w:ascii="Cambria" w:hAnsi="Cambria"/>
        </w:rPr>
      </w:pPr>
      <w:r w:rsidRPr="00E26457">
        <w:rPr>
          <w:rFonts w:ascii="Cambria" w:hAnsi="Cambria"/>
        </w:rPr>
        <w:t xml:space="preserve">Penelitian deskriptif digunakan dalam penelitian ini. Data kuantitatif sering digunakan dalam penelitian deskriptif, yang bertujuan untuk mendeskripsikan data dengan sangat rinci tanpa membuat kesimpulan yang berlaku untuk umum atau generalisasi. Harga saham (Y) merupakan variabel dependen dalam penelitian ini, sedangkan </w:t>
      </w:r>
      <w:r w:rsidR="00EF1C89" w:rsidRPr="00E26457">
        <w:rPr>
          <w:rFonts w:ascii="Cambria" w:hAnsi="Cambria"/>
          <w:i/>
        </w:rPr>
        <w:t>ROA</w:t>
      </w:r>
      <w:r w:rsidRPr="00E26457">
        <w:rPr>
          <w:rFonts w:ascii="Cambria" w:hAnsi="Cambria"/>
        </w:rPr>
        <w:t xml:space="preserve"> (X1), </w:t>
      </w:r>
      <w:r w:rsidR="00EF1C89" w:rsidRPr="00E26457">
        <w:rPr>
          <w:rFonts w:ascii="Cambria" w:hAnsi="Cambria"/>
          <w:i/>
        </w:rPr>
        <w:t>EPS</w:t>
      </w:r>
      <w:r w:rsidRPr="00E26457">
        <w:rPr>
          <w:rFonts w:ascii="Cambria" w:hAnsi="Cambria"/>
        </w:rPr>
        <w:t xml:space="preserve"> (X2), </w:t>
      </w:r>
      <w:r w:rsidR="00EF1C89" w:rsidRPr="00E26457">
        <w:rPr>
          <w:rFonts w:ascii="Cambria" w:hAnsi="Cambria"/>
          <w:i/>
        </w:rPr>
        <w:t>ROE</w:t>
      </w:r>
      <w:r w:rsidRPr="00E26457">
        <w:rPr>
          <w:rFonts w:ascii="Cambria" w:hAnsi="Cambria"/>
        </w:rPr>
        <w:t xml:space="preserve"> (X3), dan </w:t>
      </w:r>
      <w:r w:rsidR="00EF1C89" w:rsidRPr="00E26457">
        <w:rPr>
          <w:rFonts w:ascii="Cambria" w:hAnsi="Cambria"/>
          <w:i/>
        </w:rPr>
        <w:t>NPM</w:t>
      </w:r>
      <w:r w:rsidRPr="00E26457">
        <w:rPr>
          <w:rFonts w:ascii="Cambria" w:hAnsi="Cambria"/>
        </w:rPr>
        <w:t xml:space="preserve"> (X4) merupakan variabel independen. Analisis data dalam penelitian ini dilakukan dengan bantuan SPSS Versi 23.0</w:t>
      </w:r>
      <w:r w:rsidR="0079333D" w:rsidRPr="00E26457">
        <w:rPr>
          <w:rFonts w:ascii="Cambria" w:hAnsi="Cambria"/>
        </w:rPr>
        <w:t xml:space="preserve">. </w:t>
      </w:r>
    </w:p>
    <w:p w14:paraId="200C9511" w14:textId="4BEEA2FD" w:rsidR="00DB4D42" w:rsidRPr="00E26457" w:rsidRDefault="00DB4D42" w:rsidP="00DB4D42">
      <w:pPr>
        <w:spacing w:after="0" w:line="240" w:lineRule="auto"/>
        <w:ind w:firstLine="576"/>
        <w:jc w:val="both"/>
        <w:rPr>
          <w:rFonts w:ascii="Cambria" w:hAnsi="Cambria"/>
        </w:rPr>
      </w:pPr>
      <w:r w:rsidRPr="00E26457">
        <w:rPr>
          <w:rFonts w:ascii="Cambria" w:hAnsi="Cambria"/>
        </w:rPr>
        <w:t>Laporan keuangan perusahaan manufaktur makanan dan minuman yang terdaftar di BEI dari tahun 2020-2023 dipakai sebagai data sekunder dalam penelitian ini. Informasi dikumpulkan dari 95 perusahaan yang terdaftar di BEI (</w:t>
      </w:r>
      <w:r w:rsidRPr="00E26457">
        <w:rPr>
          <w:rFonts w:ascii="Cambria" w:hAnsi="Cambria"/>
          <w:color w:val="0070C0"/>
          <w:u w:val="single"/>
        </w:rPr>
        <w:t>www.idx.co.id</w:t>
      </w:r>
      <w:r w:rsidRPr="00E26457">
        <w:rPr>
          <w:rFonts w:ascii="Cambria" w:hAnsi="Cambria"/>
        </w:rPr>
        <w:t xml:space="preserve">) pada tahun 2024. Sub Sektor Makanan dan Minuman secara keseluruhan, 196 data dikumpulkan dari 49 perusahaan yang berbeda untuk penelitian ini. </w:t>
      </w:r>
    </w:p>
    <w:p w14:paraId="46B0755B" w14:textId="56B4B6DF" w:rsidR="00543FB3" w:rsidRPr="00E26457" w:rsidRDefault="00DB4D42" w:rsidP="00B86803">
      <w:pPr>
        <w:spacing w:after="0" w:line="240" w:lineRule="auto"/>
        <w:ind w:firstLine="576"/>
        <w:jc w:val="both"/>
        <w:rPr>
          <w:rFonts w:ascii="Cambria" w:hAnsi="Cambria"/>
        </w:rPr>
      </w:pPr>
      <w:r w:rsidRPr="00E26457">
        <w:rPr>
          <w:rFonts w:ascii="Cambria" w:hAnsi="Cambria"/>
        </w:rPr>
        <w:t xml:space="preserve">Pengambilan sampel penelitian didasarkan pada purposive sampling, yang melibatkan pemilihan subset populasi berdasarkan kriteria yang telah ditentukan. </w:t>
      </w:r>
      <w:r w:rsidR="008744A4" w:rsidRPr="00E26457">
        <w:rPr>
          <w:rFonts w:ascii="Cambria" w:hAnsi="Cambria"/>
        </w:rPr>
        <w:t>K</w:t>
      </w:r>
      <w:r w:rsidRPr="00E26457">
        <w:rPr>
          <w:rFonts w:ascii="Cambria" w:hAnsi="Cambria"/>
        </w:rPr>
        <w:t>riteria tersebut antara lain terdaftar di BEI, memiliki laporan keuangan lengkap, menerbitkan atau akan menerbitkan laporan keuangan tahunan dalam mata uang Rupiah, dan memiliki data harga saham akhir tahun untuk periode 2020-2023</w:t>
      </w:r>
      <w:r w:rsidR="0079333D" w:rsidRPr="00E26457">
        <w:rPr>
          <w:rFonts w:ascii="Cambria" w:hAnsi="Cambria"/>
        </w:rPr>
        <w:t>.</w:t>
      </w:r>
    </w:p>
    <w:p w14:paraId="20CDFCF3" w14:textId="77777777" w:rsidR="00B86803" w:rsidRPr="00E26457" w:rsidRDefault="00B86803" w:rsidP="00B86803">
      <w:pPr>
        <w:spacing w:after="0" w:line="240" w:lineRule="auto"/>
        <w:ind w:firstLine="576"/>
        <w:jc w:val="both"/>
        <w:rPr>
          <w:rFonts w:ascii="Cambria" w:hAnsi="Cambria"/>
        </w:rPr>
      </w:pPr>
    </w:p>
    <w:tbl>
      <w:tblPr>
        <w:tblW w:w="0" w:type="auto"/>
        <w:shd w:val="clear" w:color="auto" w:fill="D9D9D9"/>
        <w:tblLook w:val="04A0" w:firstRow="1" w:lastRow="0" w:firstColumn="1" w:lastColumn="0" w:noHBand="0" w:noVBand="1"/>
      </w:tblPr>
      <w:tblGrid>
        <w:gridCol w:w="8257"/>
        <w:gridCol w:w="248"/>
      </w:tblGrid>
      <w:tr w:rsidR="001053FB" w:rsidRPr="00E26457" w14:paraId="6BD99584" w14:textId="77777777" w:rsidTr="00AE7D0D">
        <w:trPr>
          <w:trHeight w:val="287"/>
        </w:trPr>
        <w:tc>
          <w:tcPr>
            <w:tcW w:w="8257" w:type="dxa"/>
            <w:shd w:val="clear" w:color="auto" w:fill="D9E2F3" w:themeFill="accent1" w:themeFillTint="33"/>
            <w:vAlign w:val="center"/>
          </w:tcPr>
          <w:p w14:paraId="60E24CE9" w14:textId="77777777" w:rsidR="00203DAD" w:rsidRPr="00E26457" w:rsidRDefault="00203DAD" w:rsidP="00F42CB5">
            <w:pPr>
              <w:numPr>
                <w:ilvl w:val="0"/>
                <w:numId w:val="6"/>
              </w:numPr>
              <w:spacing w:after="0" w:line="240" w:lineRule="auto"/>
              <w:ind w:left="460" w:hanging="567"/>
              <w:rPr>
                <w:rFonts w:ascii="Cambria" w:hAnsi="Cambria"/>
                <w:b/>
              </w:rPr>
            </w:pPr>
            <w:r w:rsidRPr="00E26457">
              <w:rPr>
                <w:rFonts w:ascii="Cambria" w:hAnsi="Cambria"/>
                <w:b/>
                <w:noProof/>
              </w:rPr>
              <w:t>Hasil dan Pembahasan</w:t>
            </w:r>
          </w:p>
        </w:tc>
        <w:tc>
          <w:tcPr>
            <w:tcW w:w="248" w:type="dxa"/>
            <w:shd w:val="clear" w:color="auto" w:fill="4472C4" w:themeFill="accent1"/>
          </w:tcPr>
          <w:p w14:paraId="64AD6A72" w14:textId="77777777" w:rsidR="00203DAD" w:rsidRPr="00E26457" w:rsidRDefault="00203DAD" w:rsidP="00F42CB5">
            <w:pPr>
              <w:spacing w:after="0" w:line="240" w:lineRule="auto"/>
              <w:rPr>
                <w:rFonts w:ascii="Cambria" w:hAnsi="Cambria"/>
                <w:b/>
                <w:noProof/>
              </w:rPr>
            </w:pPr>
          </w:p>
        </w:tc>
      </w:tr>
    </w:tbl>
    <w:p w14:paraId="4CAD063F" w14:textId="77777777" w:rsidR="006005CE" w:rsidRPr="00E26457" w:rsidRDefault="006005CE" w:rsidP="00F42CB5">
      <w:pPr>
        <w:spacing w:after="0" w:line="240" w:lineRule="auto"/>
        <w:ind w:firstLine="576"/>
        <w:jc w:val="both"/>
        <w:rPr>
          <w:rFonts w:ascii="Cambria" w:hAnsi="Cambria"/>
        </w:rPr>
      </w:pPr>
    </w:p>
    <w:p w14:paraId="009848A3" w14:textId="26156C3E" w:rsidR="00543FB3" w:rsidRPr="00E26457" w:rsidRDefault="00DB4D42" w:rsidP="00F42CB5">
      <w:pPr>
        <w:spacing w:after="0" w:line="240" w:lineRule="auto"/>
        <w:ind w:firstLine="576"/>
        <w:jc w:val="both"/>
        <w:rPr>
          <w:rFonts w:ascii="Cambria" w:hAnsi="Cambria"/>
        </w:rPr>
      </w:pPr>
      <w:r w:rsidRPr="00E26457">
        <w:rPr>
          <w:rFonts w:ascii="Cambria" w:hAnsi="Cambria"/>
        </w:rPr>
        <w:t>Uji F untuk Ketepatan Model (</w:t>
      </w:r>
      <w:r w:rsidRPr="00E26457">
        <w:rPr>
          <w:rFonts w:ascii="Cambria" w:hAnsi="Cambria"/>
          <w:i/>
          <w:iCs/>
        </w:rPr>
        <w:t>Goodness of Fit Model</w:t>
      </w:r>
      <w:r w:rsidRPr="00E26457">
        <w:rPr>
          <w:rFonts w:ascii="Cambria" w:hAnsi="Cambria"/>
        </w:rPr>
        <w:t xml:space="preserve">) Temuan pengujian studi ini menunjukkan bahwa pada tingkat signifikansi 5%, Ftabel adalah 2,465, dan nilai Fhitung adalah 10,865. Model regresi penelitian ini memenuhi syarat ketepatan dan kelayakan karena Fhitung &gt; Ftabel dan nilai probabilitasnya 0,000 (0,000 &lt; 0,05). Mengindikasikan bila </w:t>
      </w:r>
      <w:r w:rsidR="00EF1C89" w:rsidRPr="00E26457">
        <w:rPr>
          <w:rFonts w:ascii="Cambria" w:hAnsi="Cambria"/>
          <w:i/>
        </w:rPr>
        <w:t>ROA</w:t>
      </w:r>
      <w:r w:rsidRPr="00E26457">
        <w:rPr>
          <w:rFonts w:ascii="Cambria" w:hAnsi="Cambria"/>
        </w:rPr>
        <w:t xml:space="preserve">, </w:t>
      </w:r>
      <w:r w:rsidR="00EF1C89" w:rsidRPr="00E26457">
        <w:rPr>
          <w:rFonts w:ascii="Cambria" w:hAnsi="Cambria"/>
          <w:i/>
        </w:rPr>
        <w:t>EPS</w:t>
      </w:r>
      <w:r w:rsidRPr="00E26457">
        <w:rPr>
          <w:rFonts w:ascii="Cambria" w:hAnsi="Cambria"/>
        </w:rPr>
        <w:t xml:space="preserve">, </w:t>
      </w:r>
      <w:r w:rsidR="00EF1C89" w:rsidRPr="00E26457">
        <w:rPr>
          <w:rFonts w:ascii="Cambria" w:hAnsi="Cambria"/>
          <w:i/>
        </w:rPr>
        <w:t>ROE</w:t>
      </w:r>
      <w:r w:rsidRPr="00E26457">
        <w:rPr>
          <w:rFonts w:ascii="Cambria" w:hAnsi="Cambria"/>
        </w:rPr>
        <w:t xml:space="preserve">, dan </w:t>
      </w:r>
      <w:r w:rsidR="00EF1C89" w:rsidRPr="00E26457">
        <w:rPr>
          <w:rFonts w:ascii="Cambria" w:hAnsi="Cambria"/>
          <w:i/>
        </w:rPr>
        <w:t>NPM</w:t>
      </w:r>
      <w:r w:rsidRPr="00E26457">
        <w:rPr>
          <w:rFonts w:ascii="Cambria" w:hAnsi="Cambria"/>
        </w:rPr>
        <w:t xml:space="preserve"> secara bersama-sama </w:t>
      </w:r>
      <w:r w:rsidR="008744A4" w:rsidRPr="00E26457">
        <w:rPr>
          <w:rFonts w:ascii="Cambria" w:hAnsi="Cambria"/>
        </w:rPr>
        <w:t>berdampak pada</w:t>
      </w:r>
      <w:r w:rsidRPr="00E26457">
        <w:rPr>
          <w:rFonts w:ascii="Cambria" w:hAnsi="Cambria"/>
        </w:rPr>
        <w:t xml:space="preserve"> harga saham dan model yang digunakan layak untuk </w:t>
      </w:r>
      <w:r w:rsidR="008744A4" w:rsidRPr="00E26457">
        <w:rPr>
          <w:rFonts w:ascii="Cambria" w:hAnsi="Cambria"/>
        </w:rPr>
        <w:t>dipakai saat studi</w:t>
      </w:r>
      <w:r w:rsidR="00543FB3" w:rsidRPr="00E26457">
        <w:rPr>
          <w:rFonts w:ascii="Cambria" w:hAnsi="Cambria"/>
        </w:rPr>
        <w:t>.</w:t>
      </w:r>
    </w:p>
    <w:p w14:paraId="04150BF7" w14:textId="26A2EE10" w:rsidR="00FE7CB1" w:rsidRPr="00E26457" w:rsidRDefault="00543FB3" w:rsidP="00DB4D42">
      <w:pPr>
        <w:spacing w:after="0" w:line="240" w:lineRule="auto"/>
        <w:jc w:val="center"/>
        <w:rPr>
          <w:rFonts w:ascii="Cambria" w:hAnsi="Cambria"/>
          <w:b/>
          <w:bCs/>
        </w:rPr>
      </w:pPr>
      <w:r w:rsidRPr="00E26457">
        <w:rPr>
          <w:rFonts w:ascii="Cambria" w:hAnsi="Cambria"/>
          <w:b/>
          <w:bCs/>
        </w:rPr>
        <w:t>Tabel 1 : Uji Kelayakan (Uji F)</w:t>
      </w:r>
    </w:p>
    <w:tbl>
      <w:tblPr>
        <w:tblW w:w="7924"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10"/>
        <w:gridCol w:w="1408"/>
        <w:gridCol w:w="1010"/>
        <w:gridCol w:w="1010"/>
      </w:tblGrid>
      <w:tr w:rsidR="00DA041B" w:rsidRPr="00E26457" w14:paraId="2DED8130" w14:textId="77777777" w:rsidTr="003D3BAD">
        <w:trPr>
          <w:cantSplit/>
        </w:trPr>
        <w:tc>
          <w:tcPr>
            <w:tcW w:w="2017" w:type="dxa"/>
            <w:gridSpan w:val="2"/>
            <w:tcBorders>
              <w:top w:val="single" w:sz="4" w:space="0" w:color="auto"/>
              <w:bottom w:val="single" w:sz="4" w:space="0" w:color="auto"/>
              <w:right w:val="nil"/>
            </w:tcBorders>
            <w:shd w:val="clear" w:color="auto" w:fill="FFFFFF"/>
            <w:vAlign w:val="bottom"/>
          </w:tcPr>
          <w:p w14:paraId="738F74E1"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Model</w:t>
            </w:r>
          </w:p>
        </w:tc>
        <w:tc>
          <w:tcPr>
            <w:tcW w:w="1469" w:type="dxa"/>
            <w:tcBorders>
              <w:top w:val="single" w:sz="4" w:space="0" w:color="auto"/>
              <w:left w:val="nil"/>
              <w:bottom w:val="single" w:sz="4" w:space="0" w:color="auto"/>
              <w:right w:val="nil"/>
            </w:tcBorders>
            <w:shd w:val="clear" w:color="auto" w:fill="FFFFFF"/>
            <w:vAlign w:val="bottom"/>
          </w:tcPr>
          <w:p w14:paraId="6183C9A8"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Sum of Squares</w:t>
            </w:r>
          </w:p>
        </w:tc>
        <w:tc>
          <w:tcPr>
            <w:tcW w:w="1010" w:type="dxa"/>
            <w:tcBorders>
              <w:top w:val="single" w:sz="4" w:space="0" w:color="auto"/>
              <w:left w:val="nil"/>
              <w:bottom w:val="single" w:sz="4" w:space="0" w:color="auto"/>
              <w:right w:val="nil"/>
            </w:tcBorders>
            <w:shd w:val="clear" w:color="auto" w:fill="FFFFFF"/>
            <w:vAlign w:val="bottom"/>
          </w:tcPr>
          <w:p w14:paraId="17DC1DDB"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df</w:t>
            </w:r>
          </w:p>
        </w:tc>
        <w:tc>
          <w:tcPr>
            <w:tcW w:w="1408" w:type="dxa"/>
            <w:tcBorders>
              <w:top w:val="single" w:sz="4" w:space="0" w:color="auto"/>
              <w:left w:val="nil"/>
              <w:bottom w:val="single" w:sz="4" w:space="0" w:color="auto"/>
              <w:right w:val="nil"/>
            </w:tcBorders>
            <w:shd w:val="clear" w:color="auto" w:fill="FFFFFF"/>
            <w:vAlign w:val="bottom"/>
          </w:tcPr>
          <w:p w14:paraId="72721CA5"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Mean Square</w:t>
            </w:r>
          </w:p>
        </w:tc>
        <w:tc>
          <w:tcPr>
            <w:tcW w:w="1010" w:type="dxa"/>
            <w:tcBorders>
              <w:top w:val="single" w:sz="4" w:space="0" w:color="auto"/>
              <w:left w:val="nil"/>
              <w:bottom w:val="single" w:sz="4" w:space="0" w:color="auto"/>
              <w:right w:val="nil"/>
            </w:tcBorders>
            <w:shd w:val="clear" w:color="auto" w:fill="FFFFFF"/>
            <w:vAlign w:val="bottom"/>
          </w:tcPr>
          <w:p w14:paraId="1EC1C7BA"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F</w:t>
            </w:r>
          </w:p>
        </w:tc>
        <w:tc>
          <w:tcPr>
            <w:tcW w:w="1010" w:type="dxa"/>
            <w:tcBorders>
              <w:top w:val="single" w:sz="4" w:space="0" w:color="auto"/>
              <w:left w:val="nil"/>
              <w:bottom w:val="single" w:sz="4" w:space="0" w:color="auto"/>
            </w:tcBorders>
            <w:shd w:val="clear" w:color="auto" w:fill="FFFFFF"/>
            <w:vAlign w:val="bottom"/>
          </w:tcPr>
          <w:p w14:paraId="0B17DFB3"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Sig.</w:t>
            </w:r>
          </w:p>
        </w:tc>
      </w:tr>
      <w:tr w:rsidR="00DA041B" w:rsidRPr="00E26457" w14:paraId="190472FF" w14:textId="77777777" w:rsidTr="003D3BAD">
        <w:trPr>
          <w:cantSplit/>
        </w:trPr>
        <w:tc>
          <w:tcPr>
            <w:tcW w:w="733" w:type="dxa"/>
            <w:vMerge w:val="restart"/>
            <w:tcBorders>
              <w:top w:val="single" w:sz="4" w:space="0" w:color="auto"/>
              <w:bottom w:val="nil"/>
              <w:right w:val="nil"/>
            </w:tcBorders>
            <w:shd w:val="clear" w:color="auto" w:fill="FFFFFF"/>
          </w:tcPr>
          <w:p w14:paraId="0B81D9E5"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1</w:t>
            </w:r>
          </w:p>
        </w:tc>
        <w:tc>
          <w:tcPr>
            <w:tcW w:w="1284" w:type="dxa"/>
            <w:tcBorders>
              <w:top w:val="single" w:sz="4" w:space="0" w:color="auto"/>
              <w:left w:val="nil"/>
              <w:bottom w:val="nil"/>
              <w:right w:val="nil"/>
            </w:tcBorders>
            <w:shd w:val="clear" w:color="auto" w:fill="FFFFFF"/>
          </w:tcPr>
          <w:p w14:paraId="0F90D64C"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Regression</w:t>
            </w:r>
          </w:p>
        </w:tc>
        <w:tc>
          <w:tcPr>
            <w:tcW w:w="1469" w:type="dxa"/>
            <w:tcBorders>
              <w:top w:val="single" w:sz="4" w:space="0" w:color="auto"/>
              <w:left w:val="nil"/>
              <w:bottom w:val="nil"/>
              <w:right w:val="nil"/>
            </w:tcBorders>
            <w:shd w:val="clear" w:color="auto" w:fill="FFFFFF"/>
            <w:vAlign w:val="center"/>
          </w:tcPr>
          <w:p w14:paraId="4279EC9D"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52.847</w:t>
            </w:r>
          </w:p>
        </w:tc>
        <w:tc>
          <w:tcPr>
            <w:tcW w:w="1010" w:type="dxa"/>
            <w:tcBorders>
              <w:top w:val="single" w:sz="4" w:space="0" w:color="auto"/>
              <w:left w:val="nil"/>
              <w:bottom w:val="nil"/>
              <w:right w:val="nil"/>
            </w:tcBorders>
            <w:shd w:val="clear" w:color="auto" w:fill="FFFFFF"/>
            <w:vAlign w:val="center"/>
          </w:tcPr>
          <w:p w14:paraId="5A77160E"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4</w:t>
            </w:r>
          </w:p>
        </w:tc>
        <w:tc>
          <w:tcPr>
            <w:tcW w:w="1408" w:type="dxa"/>
            <w:tcBorders>
              <w:top w:val="single" w:sz="4" w:space="0" w:color="auto"/>
              <w:left w:val="nil"/>
              <w:bottom w:val="nil"/>
              <w:right w:val="nil"/>
            </w:tcBorders>
            <w:shd w:val="clear" w:color="auto" w:fill="FFFFFF"/>
            <w:vAlign w:val="center"/>
          </w:tcPr>
          <w:p w14:paraId="2595FAD1"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13.212</w:t>
            </w:r>
          </w:p>
        </w:tc>
        <w:tc>
          <w:tcPr>
            <w:tcW w:w="1010" w:type="dxa"/>
            <w:tcBorders>
              <w:top w:val="single" w:sz="4" w:space="0" w:color="auto"/>
              <w:left w:val="nil"/>
              <w:bottom w:val="nil"/>
              <w:right w:val="nil"/>
            </w:tcBorders>
            <w:shd w:val="clear" w:color="auto" w:fill="FFFFFF"/>
            <w:vAlign w:val="center"/>
          </w:tcPr>
          <w:p w14:paraId="05C3F4B4"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10.865</w:t>
            </w:r>
          </w:p>
        </w:tc>
        <w:tc>
          <w:tcPr>
            <w:tcW w:w="1010" w:type="dxa"/>
            <w:tcBorders>
              <w:top w:val="single" w:sz="4" w:space="0" w:color="auto"/>
              <w:left w:val="nil"/>
              <w:bottom w:val="nil"/>
            </w:tcBorders>
            <w:shd w:val="clear" w:color="auto" w:fill="FFFFFF"/>
            <w:vAlign w:val="center"/>
          </w:tcPr>
          <w:p w14:paraId="498F4986"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.000</w:t>
            </w:r>
            <w:r w:rsidRPr="00E26457">
              <w:rPr>
                <w:rFonts w:ascii="Cambria" w:eastAsia="Times New Roman" w:hAnsi="Cambria"/>
                <w:color w:val="000000"/>
                <w:vertAlign w:val="superscript"/>
                <w:lang w:val="id"/>
              </w:rPr>
              <w:t>b</w:t>
            </w:r>
          </w:p>
        </w:tc>
      </w:tr>
      <w:tr w:rsidR="00DA041B" w:rsidRPr="00E26457" w14:paraId="05025A7D" w14:textId="77777777" w:rsidTr="003D3BAD">
        <w:trPr>
          <w:cantSplit/>
        </w:trPr>
        <w:tc>
          <w:tcPr>
            <w:tcW w:w="733" w:type="dxa"/>
            <w:vMerge/>
            <w:tcBorders>
              <w:top w:val="nil"/>
              <w:bottom w:val="nil"/>
              <w:right w:val="nil"/>
            </w:tcBorders>
            <w:shd w:val="clear" w:color="auto" w:fill="FFFFFF"/>
          </w:tcPr>
          <w:p w14:paraId="5ABC67E4" w14:textId="77777777" w:rsidR="00DA041B" w:rsidRPr="00E26457" w:rsidRDefault="00DA041B" w:rsidP="003D3BAD">
            <w:pPr>
              <w:adjustRightInd w:val="0"/>
              <w:spacing w:after="0" w:line="240" w:lineRule="auto"/>
              <w:ind w:left="-14"/>
              <w:jc w:val="both"/>
              <w:rPr>
                <w:rFonts w:ascii="Cambria" w:eastAsia="Times New Roman" w:hAnsi="Cambria"/>
                <w:i/>
                <w:iCs/>
                <w:color w:val="000000"/>
                <w:lang w:val="id"/>
              </w:rPr>
            </w:pPr>
          </w:p>
        </w:tc>
        <w:tc>
          <w:tcPr>
            <w:tcW w:w="1284" w:type="dxa"/>
            <w:tcBorders>
              <w:top w:val="nil"/>
              <w:left w:val="nil"/>
              <w:bottom w:val="nil"/>
              <w:right w:val="nil"/>
            </w:tcBorders>
            <w:shd w:val="clear" w:color="auto" w:fill="FFFFFF"/>
          </w:tcPr>
          <w:p w14:paraId="08EA8C12"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Residual</w:t>
            </w:r>
          </w:p>
        </w:tc>
        <w:tc>
          <w:tcPr>
            <w:tcW w:w="1469" w:type="dxa"/>
            <w:tcBorders>
              <w:top w:val="nil"/>
              <w:left w:val="nil"/>
              <w:bottom w:val="nil"/>
              <w:right w:val="nil"/>
            </w:tcBorders>
            <w:shd w:val="clear" w:color="auto" w:fill="FFFFFF"/>
            <w:vAlign w:val="center"/>
          </w:tcPr>
          <w:p w14:paraId="290C33C8"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117.948</w:t>
            </w:r>
          </w:p>
        </w:tc>
        <w:tc>
          <w:tcPr>
            <w:tcW w:w="1010" w:type="dxa"/>
            <w:tcBorders>
              <w:top w:val="nil"/>
              <w:left w:val="nil"/>
              <w:bottom w:val="nil"/>
              <w:right w:val="nil"/>
            </w:tcBorders>
            <w:shd w:val="clear" w:color="auto" w:fill="FFFFFF"/>
            <w:vAlign w:val="center"/>
          </w:tcPr>
          <w:p w14:paraId="542B3DB2"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97</w:t>
            </w:r>
          </w:p>
        </w:tc>
        <w:tc>
          <w:tcPr>
            <w:tcW w:w="1408" w:type="dxa"/>
            <w:tcBorders>
              <w:top w:val="nil"/>
              <w:left w:val="nil"/>
              <w:bottom w:val="nil"/>
              <w:right w:val="nil"/>
            </w:tcBorders>
            <w:shd w:val="clear" w:color="auto" w:fill="FFFFFF"/>
            <w:vAlign w:val="center"/>
          </w:tcPr>
          <w:p w14:paraId="19EABECB"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1.216</w:t>
            </w:r>
          </w:p>
        </w:tc>
        <w:tc>
          <w:tcPr>
            <w:tcW w:w="1010" w:type="dxa"/>
            <w:tcBorders>
              <w:top w:val="nil"/>
              <w:left w:val="nil"/>
              <w:bottom w:val="nil"/>
              <w:right w:val="nil"/>
            </w:tcBorders>
            <w:shd w:val="clear" w:color="auto" w:fill="FFFFFF"/>
            <w:vAlign w:val="center"/>
          </w:tcPr>
          <w:p w14:paraId="5DA61F27" w14:textId="77777777" w:rsidR="00DA041B" w:rsidRPr="00E26457" w:rsidRDefault="00DA041B" w:rsidP="003D3BAD">
            <w:pPr>
              <w:adjustRightInd w:val="0"/>
              <w:spacing w:after="0" w:line="240" w:lineRule="auto"/>
              <w:ind w:left="-14"/>
              <w:jc w:val="both"/>
              <w:rPr>
                <w:rFonts w:ascii="Cambria" w:eastAsia="Times New Roman" w:hAnsi="Cambria"/>
                <w:lang w:val="id"/>
              </w:rPr>
            </w:pPr>
          </w:p>
        </w:tc>
        <w:tc>
          <w:tcPr>
            <w:tcW w:w="1010" w:type="dxa"/>
            <w:tcBorders>
              <w:top w:val="nil"/>
              <w:left w:val="nil"/>
              <w:bottom w:val="nil"/>
            </w:tcBorders>
            <w:shd w:val="clear" w:color="auto" w:fill="FFFFFF"/>
            <w:vAlign w:val="center"/>
          </w:tcPr>
          <w:p w14:paraId="4905F7DB" w14:textId="77777777" w:rsidR="00DA041B" w:rsidRPr="00E26457" w:rsidRDefault="00DA041B" w:rsidP="003D3BAD">
            <w:pPr>
              <w:adjustRightInd w:val="0"/>
              <w:spacing w:after="0" w:line="240" w:lineRule="auto"/>
              <w:ind w:left="-14"/>
              <w:jc w:val="both"/>
              <w:rPr>
                <w:rFonts w:ascii="Cambria" w:eastAsia="Times New Roman" w:hAnsi="Cambria"/>
                <w:lang w:val="id"/>
              </w:rPr>
            </w:pPr>
          </w:p>
        </w:tc>
      </w:tr>
      <w:tr w:rsidR="00DA041B" w:rsidRPr="00E26457" w14:paraId="76A3A849" w14:textId="77777777" w:rsidTr="003D3BAD">
        <w:trPr>
          <w:cantSplit/>
        </w:trPr>
        <w:tc>
          <w:tcPr>
            <w:tcW w:w="733" w:type="dxa"/>
            <w:vMerge/>
            <w:tcBorders>
              <w:top w:val="nil"/>
              <w:bottom w:val="nil"/>
              <w:right w:val="nil"/>
            </w:tcBorders>
            <w:shd w:val="clear" w:color="auto" w:fill="FFFFFF"/>
          </w:tcPr>
          <w:p w14:paraId="46561D4A" w14:textId="77777777" w:rsidR="00DA041B" w:rsidRPr="00E26457" w:rsidRDefault="00DA041B" w:rsidP="003D3BAD">
            <w:pPr>
              <w:adjustRightInd w:val="0"/>
              <w:spacing w:after="0" w:line="240" w:lineRule="auto"/>
              <w:ind w:left="-14"/>
              <w:jc w:val="both"/>
              <w:rPr>
                <w:rFonts w:ascii="Cambria" w:eastAsia="Times New Roman" w:hAnsi="Cambria"/>
                <w:i/>
                <w:iCs/>
                <w:lang w:val="id"/>
              </w:rPr>
            </w:pPr>
          </w:p>
        </w:tc>
        <w:tc>
          <w:tcPr>
            <w:tcW w:w="1284" w:type="dxa"/>
            <w:tcBorders>
              <w:top w:val="nil"/>
              <w:left w:val="nil"/>
              <w:bottom w:val="nil"/>
              <w:right w:val="nil"/>
            </w:tcBorders>
            <w:shd w:val="clear" w:color="auto" w:fill="FFFFFF"/>
          </w:tcPr>
          <w:p w14:paraId="70AE7C57"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Total</w:t>
            </w:r>
          </w:p>
        </w:tc>
        <w:tc>
          <w:tcPr>
            <w:tcW w:w="1469" w:type="dxa"/>
            <w:tcBorders>
              <w:top w:val="nil"/>
              <w:left w:val="nil"/>
              <w:bottom w:val="nil"/>
              <w:right w:val="nil"/>
            </w:tcBorders>
            <w:shd w:val="clear" w:color="auto" w:fill="FFFFFF"/>
            <w:vAlign w:val="center"/>
          </w:tcPr>
          <w:p w14:paraId="70E51B5A"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170.795</w:t>
            </w:r>
          </w:p>
        </w:tc>
        <w:tc>
          <w:tcPr>
            <w:tcW w:w="1010" w:type="dxa"/>
            <w:tcBorders>
              <w:top w:val="nil"/>
              <w:left w:val="nil"/>
              <w:bottom w:val="nil"/>
              <w:right w:val="nil"/>
            </w:tcBorders>
            <w:shd w:val="clear" w:color="auto" w:fill="FFFFFF"/>
            <w:vAlign w:val="center"/>
          </w:tcPr>
          <w:p w14:paraId="20572E61"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101</w:t>
            </w:r>
          </w:p>
        </w:tc>
        <w:tc>
          <w:tcPr>
            <w:tcW w:w="1408" w:type="dxa"/>
            <w:tcBorders>
              <w:top w:val="nil"/>
              <w:left w:val="nil"/>
              <w:bottom w:val="nil"/>
              <w:right w:val="nil"/>
            </w:tcBorders>
            <w:shd w:val="clear" w:color="auto" w:fill="FFFFFF"/>
            <w:vAlign w:val="center"/>
          </w:tcPr>
          <w:p w14:paraId="4B9AFB41" w14:textId="77777777" w:rsidR="00DA041B" w:rsidRPr="00E26457" w:rsidRDefault="00DA041B" w:rsidP="003D3BAD">
            <w:pPr>
              <w:adjustRightInd w:val="0"/>
              <w:spacing w:after="0" w:line="240" w:lineRule="auto"/>
              <w:ind w:left="-14"/>
              <w:jc w:val="both"/>
              <w:rPr>
                <w:rFonts w:ascii="Cambria" w:eastAsia="Times New Roman" w:hAnsi="Cambria"/>
                <w:lang w:val="id"/>
              </w:rPr>
            </w:pPr>
          </w:p>
        </w:tc>
        <w:tc>
          <w:tcPr>
            <w:tcW w:w="1010" w:type="dxa"/>
            <w:tcBorders>
              <w:top w:val="nil"/>
              <w:left w:val="nil"/>
              <w:bottom w:val="nil"/>
              <w:right w:val="nil"/>
            </w:tcBorders>
            <w:shd w:val="clear" w:color="auto" w:fill="FFFFFF"/>
            <w:vAlign w:val="center"/>
          </w:tcPr>
          <w:p w14:paraId="13A5D96A" w14:textId="77777777" w:rsidR="00DA041B" w:rsidRPr="00E26457" w:rsidRDefault="00DA041B" w:rsidP="003D3BAD">
            <w:pPr>
              <w:adjustRightInd w:val="0"/>
              <w:spacing w:after="0" w:line="240" w:lineRule="auto"/>
              <w:ind w:left="-14"/>
              <w:jc w:val="both"/>
              <w:rPr>
                <w:rFonts w:ascii="Cambria" w:eastAsia="Times New Roman" w:hAnsi="Cambria"/>
                <w:lang w:val="id"/>
              </w:rPr>
            </w:pPr>
          </w:p>
        </w:tc>
        <w:tc>
          <w:tcPr>
            <w:tcW w:w="1010" w:type="dxa"/>
            <w:tcBorders>
              <w:top w:val="nil"/>
              <w:left w:val="nil"/>
              <w:bottom w:val="nil"/>
            </w:tcBorders>
            <w:shd w:val="clear" w:color="auto" w:fill="FFFFFF"/>
            <w:vAlign w:val="center"/>
          </w:tcPr>
          <w:p w14:paraId="5C926117" w14:textId="77777777" w:rsidR="00DA041B" w:rsidRPr="00E26457" w:rsidRDefault="00DA041B" w:rsidP="003D3BAD">
            <w:pPr>
              <w:adjustRightInd w:val="0"/>
              <w:spacing w:after="0" w:line="240" w:lineRule="auto"/>
              <w:ind w:left="-14"/>
              <w:jc w:val="both"/>
              <w:rPr>
                <w:rFonts w:ascii="Cambria" w:eastAsia="Times New Roman" w:hAnsi="Cambria"/>
                <w:lang w:val="id"/>
              </w:rPr>
            </w:pPr>
          </w:p>
        </w:tc>
      </w:tr>
      <w:tr w:rsidR="00DA041B" w:rsidRPr="00E26457" w14:paraId="52F8D7D5" w14:textId="77777777" w:rsidTr="003D3BAD">
        <w:trPr>
          <w:cantSplit/>
        </w:trPr>
        <w:tc>
          <w:tcPr>
            <w:tcW w:w="7924" w:type="dxa"/>
            <w:gridSpan w:val="7"/>
            <w:tcBorders>
              <w:top w:val="nil"/>
              <w:bottom w:val="nil"/>
            </w:tcBorders>
            <w:shd w:val="clear" w:color="auto" w:fill="FFFFFF"/>
          </w:tcPr>
          <w:p w14:paraId="7F7BFF2A"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a. Dependent Variable: HARGA SAHAM</w:t>
            </w:r>
          </w:p>
        </w:tc>
      </w:tr>
      <w:tr w:rsidR="00DA041B" w:rsidRPr="00E26457" w14:paraId="6450DA69" w14:textId="77777777" w:rsidTr="003D3BAD">
        <w:trPr>
          <w:cantSplit/>
        </w:trPr>
        <w:tc>
          <w:tcPr>
            <w:tcW w:w="7924" w:type="dxa"/>
            <w:gridSpan w:val="7"/>
            <w:tcBorders>
              <w:top w:val="nil"/>
              <w:bottom w:val="nil"/>
            </w:tcBorders>
            <w:shd w:val="clear" w:color="auto" w:fill="FFFFFF"/>
          </w:tcPr>
          <w:p w14:paraId="2F7CDDAC"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b. Predictors: (Constant), NPM, ROE, ROA, EPS</w:t>
            </w:r>
          </w:p>
        </w:tc>
      </w:tr>
    </w:tbl>
    <w:p w14:paraId="64A9B978" w14:textId="77777777" w:rsidR="00DA041B" w:rsidRPr="00E26457" w:rsidRDefault="00DA041B" w:rsidP="00DB4D42">
      <w:pPr>
        <w:spacing w:after="0" w:line="240" w:lineRule="auto"/>
        <w:jc w:val="center"/>
        <w:rPr>
          <w:rFonts w:ascii="Cambria" w:hAnsi="Cambria"/>
          <w:b/>
          <w:bCs/>
        </w:rPr>
      </w:pPr>
    </w:p>
    <w:p w14:paraId="132F3E7C" w14:textId="0BCCE1F8" w:rsidR="00543FB3" w:rsidRPr="00E26457" w:rsidRDefault="00DB4D42" w:rsidP="00F42CB5">
      <w:pPr>
        <w:spacing w:after="0" w:line="240" w:lineRule="auto"/>
        <w:jc w:val="both"/>
        <w:rPr>
          <w:rFonts w:ascii="Cambria" w:hAnsi="Cambria"/>
          <w:b/>
          <w:bCs/>
        </w:rPr>
      </w:pPr>
      <w:r w:rsidRPr="00E26457">
        <w:rPr>
          <w:rFonts w:ascii="Cambria" w:hAnsi="Cambria"/>
        </w:rPr>
        <w:t>Hasil uji t untuk signifikansi variabel Anda dapat melihat hasil pengujian pada tabel berdasarkan uji signifikansi variabel dengan m</w:t>
      </w:r>
      <w:r w:rsidR="008744A4" w:rsidRPr="00E26457">
        <w:rPr>
          <w:rFonts w:ascii="Cambria" w:hAnsi="Cambria"/>
        </w:rPr>
        <w:t>emakai</w:t>
      </w:r>
      <w:r w:rsidRPr="00E26457">
        <w:rPr>
          <w:rFonts w:ascii="Cambria" w:hAnsi="Cambria"/>
        </w:rPr>
        <w:t xml:space="preserve"> uji t pada model regresi</w:t>
      </w:r>
      <w:r w:rsidR="00543FB3" w:rsidRPr="00E26457">
        <w:rPr>
          <w:rFonts w:ascii="Cambria" w:hAnsi="Cambria"/>
        </w:rPr>
        <w:t>;</w:t>
      </w:r>
      <w:r w:rsidR="00543FB3" w:rsidRPr="00E26457">
        <w:rPr>
          <w:rFonts w:ascii="Cambria" w:hAnsi="Cambria"/>
          <w:b/>
          <w:bCs/>
        </w:rPr>
        <w:t xml:space="preserve"> </w:t>
      </w:r>
    </w:p>
    <w:p w14:paraId="2B2FA1C2" w14:textId="56B39655" w:rsidR="00DA041B" w:rsidRPr="00E26457" w:rsidRDefault="00DA041B">
      <w:pPr>
        <w:spacing w:after="0" w:line="240" w:lineRule="auto"/>
        <w:rPr>
          <w:rFonts w:ascii="Cambria" w:hAnsi="Cambria"/>
          <w:b/>
          <w:bCs/>
        </w:rPr>
      </w:pPr>
    </w:p>
    <w:p w14:paraId="167CE78D" w14:textId="55EAC90B" w:rsidR="00543FB3" w:rsidRPr="00E26457" w:rsidRDefault="00543FB3" w:rsidP="00F42CB5">
      <w:pPr>
        <w:spacing w:after="0" w:line="240" w:lineRule="auto"/>
        <w:jc w:val="center"/>
        <w:rPr>
          <w:rFonts w:ascii="Cambria" w:hAnsi="Cambria"/>
          <w:b/>
          <w:bCs/>
        </w:rPr>
      </w:pPr>
      <w:r w:rsidRPr="00E26457">
        <w:rPr>
          <w:rFonts w:ascii="Cambria" w:hAnsi="Cambria"/>
          <w:b/>
          <w:bCs/>
        </w:rPr>
        <w:t>Tabel 2 : Hasil Uji Statistik Deskriptif Model Regresi</w:t>
      </w: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7"/>
        <w:gridCol w:w="1331"/>
        <w:gridCol w:w="1331"/>
        <w:gridCol w:w="1469"/>
        <w:gridCol w:w="1010"/>
        <w:gridCol w:w="1010"/>
      </w:tblGrid>
      <w:tr w:rsidR="00DA041B" w:rsidRPr="00E26457" w14:paraId="64D8009F" w14:textId="77777777" w:rsidTr="003D3BAD">
        <w:trPr>
          <w:cantSplit/>
        </w:trPr>
        <w:tc>
          <w:tcPr>
            <w:tcW w:w="1910" w:type="dxa"/>
            <w:gridSpan w:val="2"/>
            <w:vMerge w:val="restart"/>
            <w:tcBorders>
              <w:top w:val="single" w:sz="4" w:space="0" w:color="auto"/>
              <w:left w:val="nil"/>
              <w:bottom w:val="nil"/>
              <w:right w:val="nil"/>
            </w:tcBorders>
            <w:shd w:val="clear" w:color="auto" w:fill="FFFFFF"/>
            <w:vAlign w:val="bottom"/>
          </w:tcPr>
          <w:p w14:paraId="0BE6625C"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Model</w:t>
            </w:r>
          </w:p>
        </w:tc>
        <w:tc>
          <w:tcPr>
            <w:tcW w:w="2662" w:type="dxa"/>
            <w:gridSpan w:val="2"/>
            <w:tcBorders>
              <w:top w:val="single" w:sz="4" w:space="0" w:color="auto"/>
              <w:left w:val="nil"/>
              <w:bottom w:val="nil"/>
              <w:right w:val="nil"/>
            </w:tcBorders>
            <w:shd w:val="clear" w:color="auto" w:fill="FFFFFF"/>
            <w:vAlign w:val="bottom"/>
          </w:tcPr>
          <w:p w14:paraId="20581CD2"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Unstandardized Coefficients</w:t>
            </w:r>
          </w:p>
        </w:tc>
        <w:tc>
          <w:tcPr>
            <w:tcW w:w="1469" w:type="dxa"/>
            <w:tcBorders>
              <w:top w:val="single" w:sz="4" w:space="0" w:color="auto"/>
              <w:left w:val="nil"/>
              <w:bottom w:val="nil"/>
              <w:right w:val="nil"/>
            </w:tcBorders>
            <w:shd w:val="clear" w:color="auto" w:fill="FFFFFF"/>
            <w:vAlign w:val="bottom"/>
          </w:tcPr>
          <w:p w14:paraId="6F565D02"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Standardized Coefficients</w:t>
            </w:r>
          </w:p>
        </w:tc>
        <w:tc>
          <w:tcPr>
            <w:tcW w:w="1010" w:type="dxa"/>
            <w:vMerge w:val="restart"/>
            <w:tcBorders>
              <w:top w:val="single" w:sz="4" w:space="0" w:color="auto"/>
              <w:left w:val="nil"/>
              <w:bottom w:val="single" w:sz="4" w:space="0" w:color="auto"/>
              <w:right w:val="nil"/>
            </w:tcBorders>
            <w:shd w:val="clear" w:color="auto" w:fill="FFFFFF"/>
            <w:vAlign w:val="bottom"/>
          </w:tcPr>
          <w:p w14:paraId="5F3B02D2"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t</w:t>
            </w:r>
          </w:p>
        </w:tc>
        <w:tc>
          <w:tcPr>
            <w:tcW w:w="1010" w:type="dxa"/>
            <w:vMerge w:val="restart"/>
            <w:tcBorders>
              <w:top w:val="single" w:sz="4" w:space="0" w:color="auto"/>
              <w:left w:val="nil"/>
              <w:bottom w:val="single" w:sz="4" w:space="0" w:color="auto"/>
              <w:right w:val="nil"/>
            </w:tcBorders>
            <w:shd w:val="clear" w:color="auto" w:fill="FFFFFF"/>
            <w:vAlign w:val="bottom"/>
          </w:tcPr>
          <w:p w14:paraId="75E81E1C"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Sig.</w:t>
            </w:r>
          </w:p>
        </w:tc>
      </w:tr>
      <w:tr w:rsidR="00DA041B" w:rsidRPr="00E26457" w14:paraId="62F30CD6" w14:textId="77777777" w:rsidTr="003D3BAD">
        <w:trPr>
          <w:cantSplit/>
        </w:trPr>
        <w:tc>
          <w:tcPr>
            <w:tcW w:w="1910" w:type="dxa"/>
            <w:gridSpan w:val="2"/>
            <w:vMerge/>
            <w:tcBorders>
              <w:top w:val="nil"/>
              <w:left w:val="nil"/>
              <w:bottom w:val="single" w:sz="4" w:space="0" w:color="auto"/>
              <w:right w:val="nil"/>
            </w:tcBorders>
            <w:shd w:val="clear" w:color="auto" w:fill="FFFFFF"/>
            <w:vAlign w:val="bottom"/>
          </w:tcPr>
          <w:p w14:paraId="4D9CB5B1" w14:textId="77777777" w:rsidR="00DA041B" w:rsidRPr="00E26457" w:rsidRDefault="00DA041B" w:rsidP="003D3BAD">
            <w:pPr>
              <w:adjustRightInd w:val="0"/>
              <w:spacing w:after="0" w:line="240" w:lineRule="auto"/>
              <w:ind w:left="-14"/>
              <w:jc w:val="both"/>
              <w:rPr>
                <w:rFonts w:ascii="Cambria" w:eastAsia="Times New Roman" w:hAnsi="Cambria"/>
                <w:i/>
                <w:iCs/>
                <w:color w:val="000000"/>
                <w:lang w:val="id"/>
              </w:rPr>
            </w:pPr>
          </w:p>
        </w:tc>
        <w:tc>
          <w:tcPr>
            <w:tcW w:w="1331" w:type="dxa"/>
            <w:tcBorders>
              <w:top w:val="nil"/>
              <w:left w:val="nil"/>
              <w:bottom w:val="single" w:sz="4" w:space="0" w:color="auto"/>
              <w:right w:val="nil"/>
            </w:tcBorders>
            <w:shd w:val="clear" w:color="auto" w:fill="FFFFFF"/>
            <w:vAlign w:val="bottom"/>
          </w:tcPr>
          <w:p w14:paraId="0FF330A7"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B</w:t>
            </w:r>
          </w:p>
        </w:tc>
        <w:tc>
          <w:tcPr>
            <w:tcW w:w="1331" w:type="dxa"/>
            <w:tcBorders>
              <w:top w:val="nil"/>
              <w:left w:val="nil"/>
              <w:bottom w:val="single" w:sz="4" w:space="0" w:color="auto"/>
              <w:right w:val="nil"/>
            </w:tcBorders>
            <w:shd w:val="clear" w:color="auto" w:fill="FFFFFF"/>
            <w:vAlign w:val="bottom"/>
          </w:tcPr>
          <w:p w14:paraId="7F9E38FA"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Std. Error</w:t>
            </w:r>
          </w:p>
        </w:tc>
        <w:tc>
          <w:tcPr>
            <w:tcW w:w="1469" w:type="dxa"/>
            <w:tcBorders>
              <w:top w:val="nil"/>
              <w:left w:val="nil"/>
              <w:bottom w:val="single" w:sz="4" w:space="0" w:color="auto"/>
              <w:right w:val="nil"/>
            </w:tcBorders>
            <w:shd w:val="clear" w:color="auto" w:fill="FFFFFF"/>
            <w:vAlign w:val="bottom"/>
          </w:tcPr>
          <w:p w14:paraId="73FCC581"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Beta</w:t>
            </w:r>
          </w:p>
        </w:tc>
        <w:tc>
          <w:tcPr>
            <w:tcW w:w="1010" w:type="dxa"/>
            <w:vMerge/>
            <w:tcBorders>
              <w:top w:val="nil"/>
              <w:left w:val="nil"/>
              <w:bottom w:val="single" w:sz="4" w:space="0" w:color="auto"/>
              <w:right w:val="nil"/>
            </w:tcBorders>
            <w:shd w:val="clear" w:color="auto" w:fill="FFFFFF"/>
            <w:vAlign w:val="bottom"/>
          </w:tcPr>
          <w:p w14:paraId="4331DB47" w14:textId="77777777" w:rsidR="00DA041B" w:rsidRPr="00E26457" w:rsidRDefault="00DA041B" w:rsidP="003D3BAD">
            <w:pPr>
              <w:adjustRightInd w:val="0"/>
              <w:spacing w:after="0" w:line="240" w:lineRule="auto"/>
              <w:ind w:left="-14"/>
              <w:jc w:val="both"/>
              <w:rPr>
                <w:rFonts w:ascii="Cambria" w:eastAsia="Times New Roman" w:hAnsi="Cambria"/>
                <w:i/>
                <w:iCs/>
                <w:color w:val="000000"/>
                <w:lang w:val="id"/>
              </w:rPr>
            </w:pPr>
          </w:p>
        </w:tc>
        <w:tc>
          <w:tcPr>
            <w:tcW w:w="1010" w:type="dxa"/>
            <w:vMerge/>
            <w:tcBorders>
              <w:top w:val="nil"/>
              <w:left w:val="nil"/>
              <w:bottom w:val="single" w:sz="4" w:space="0" w:color="auto"/>
              <w:right w:val="nil"/>
            </w:tcBorders>
            <w:shd w:val="clear" w:color="auto" w:fill="FFFFFF"/>
            <w:vAlign w:val="bottom"/>
          </w:tcPr>
          <w:p w14:paraId="6AB5FE8B" w14:textId="77777777" w:rsidR="00DA041B" w:rsidRPr="00E26457" w:rsidRDefault="00DA041B" w:rsidP="003D3BAD">
            <w:pPr>
              <w:adjustRightInd w:val="0"/>
              <w:spacing w:after="0" w:line="240" w:lineRule="auto"/>
              <w:ind w:left="-14"/>
              <w:jc w:val="both"/>
              <w:rPr>
                <w:rFonts w:ascii="Cambria" w:eastAsia="Times New Roman" w:hAnsi="Cambria"/>
                <w:i/>
                <w:iCs/>
                <w:color w:val="000000"/>
                <w:lang w:val="id"/>
              </w:rPr>
            </w:pPr>
          </w:p>
        </w:tc>
      </w:tr>
      <w:tr w:rsidR="00DA041B" w:rsidRPr="00E26457" w14:paraId="218E867A" w14:textId="77777777" w:rsidTr="003D3BAD">
        <w:trPr>
          <w:cantSplit/>
        </w:trPr>
        <w:tc>
          <w:tcPr>
            <w:tcW w:w="733" w:type="dxa"/>
            <w:vMerge w:val="restart"/>
            <w:tcBorders>
              <w:top w:val="single" w:sz="4" w:space="0" w:color="auto"/>
              <w:left w:val="nil"/>
              <w:bottom w:val="nil"/>
              <w:right w:val="nil"/>
            </w:tcBorders>
            <w:shd w:val="clear" w:color="auto" w:fill="FFFFFF"/>
          </w:tcPr>
          <w:p w14:paraId="21404EA0"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1</w:t>
            </w:r>
          </w:p>
        </w:tc>
        <w:tc>
          <w:tcPr>
            <w:tcW w:w="1177" w:type="dxa"/>
            <w:tcBorders>
              <w:top w:val="single" w:sz="4" w:space="0" w:color="auto"/>
              <w:left w:val="nil"/>
              <w:bottom w:val="nil"/>
              <w:right w:val="nil"/>
            </w:tcBorders>
            <w:shd w:val="clear" w:color="auto" w:fill="FFFFFF"/>
          </w:tcPr>
          <w:p w14:paraId="3B1524A5"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(Constant)</w:t>
            </w:r>
          </w:p>
        </w:tc>
        <w:tc>
          <w:tcPr>
            <w:tcW w:w="1331" w:type="dxa"/>
            <w:tcBorders>
              <w:top w:val="single" w:sz="4" w:space="0" w:color="auto"/>
              <w:left w:val="nil"/>
              <w:bottom w:val="nil"/>
              <w:right w:val="nil"/>
            </w:tcBorders>
            <w:shd w:val="clear" w:color="auto" w:fill="FFFFFF"/>
            <w:vAlign w:val="center"/>
          </w:tcPr>
          <w:p w14:paraId="352BA396"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5.263</w:t>
            </w:r>
          </w:p>
        </w:tc>
        <w:tc>
          <w:tcPr>
            <w:tcW w:w="1331" w:type="dxa"/>
            <w:tcBorders>
              <w:top w:val="single" w:sz="4" w:space="0" w:color="auto"/>
              <w:left w:val="nil"/>
              <w:bottom w:val="nil"/>
              <w:right w:val="nil"/>
            </w:tcBorders>
            <w:shd w:val="clear" w:color="auto" w:fill="FFFFFF"/>
            <w:vAlign w:val="center"/>
          </w:tcPr>
          <w:p w14:paraId="662F7C91"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.150</w:t>
            </w:r>
          </w:p>
        </w:tc>
        <w:tc>
          <w:tcPr>
            <w:tcW w:w="1469" w:type="dxa"/>
            <w:tcBorders>
              <w:top w:val="single" w:sz="4" w:space="0" w:color="auto"/>
              <w:left w:val="nil"/>
              <w:bottom w:val="nil"/>
              <w:right w:val="nil"/>
            </w:tcBorders>
            <w:shd w:val="clear" w:color="auto" w:fill="FFFFFF"/>
            <w:vAlign w:val="center"/>
          </w:tcPr>
          <w:p w14:paraId="46CAC707" w14:textId="77777777" w:rsidR="00DA041B" w:rsidRPr="00E26457" w:rsidRDefault="00DA041B" w:rsidP="003D3BAD">
            <w:pPr>
              <w:adjustRightInd w:val="0"/>
              <w:spacing w:after="0" w:line="240" w:lineRule="auto"/>
              <w:ind w:left="-14"/>
              <w:jc w:val="both"/>
              <w:rPr>
                <w:rFonts w:ascii="Cambria" w:eastAsia="Times New Roman" w:hAnsi="Cambria"/>
                <w:lang w:val="id"/>
              </w:rPr>
            </w:pPr>
          </w:p>
        </w:tc>
        <w:tc>
          <w:tcPr>
            <w:tcW w:w="1010" w:type="dxa"/>
            <w:tcBorders>
              <w:top w:val="single" w:sz="4" w:space="0" w:color="auto"/>
              <w:left w:val="nil"/>
              <w:bottom w:val="nil"/>
              <w:right w:val="nil"/>
            </w:tcBorders>
            <w:shd w:val="clear" w:color="auto" w:fill="FFFFFF"/>
            <w:vAlign w:val="center"/>
          </w:tcPr>
          <w:p w14:paraId="6C423726"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34.995</w:t>
            </w:r>
          </w:p>
        </w:tc>
        <w:tc>
          <w:tcPr>
            <w:tcW w:w="1010" w:type="dxa"/>
            <w:tcBorders>
              <w:top w:val="single" w:sz="4" w:space="0" w:color="auto"/>
              <w:left w:val="nil"/>
              <w:bottom w:val="nil"/>
              <w:right w:val="nil"/>
            </w:tcBorders>
            <w:shd w:val="clear" w:color="auto" w:fill="FFFFFF"/>
            <w:vAlign w:val="center"/>
          </w:tcPr>
          <w:p w14:paraId="434AA451"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.000</w:t>
            </w:r>
          </w:p>
        </w:tc>
      </w:tr>
      <w:tr w:rsidR="00DA041B" w:rsidRPr="00E26457" w14:paraId="240E8036" w14:textId="77777777" w:rsidTr="003D3BAD">
        <w:trPr>
          <w:cantSplit/>
        </w:trPr>
        <w:tc>
          <w:tcPr>
            <w:tcW w:w="733" w:type="dxa"/>
            <w:vMerge/>
            <w:tcBorders>
              <w:top w:val="nil"/>
              <w:left w:val="nil"/>
              <w:bottom w:val="nil"/>
              <w:right w:val="nil"/>
            </w:tcBorders>
            <w:shd w:val="clear" w:color="auto" w:fill="FFFFFF"/>
          </w:tcPr>
          <w:p w14:paraId="73C9C1FF" w14:textId="77777777" w:rsidR="00DA041B" w:rsidRPr="00E26457" w:rsidRDefault="00DA041B" w:rsidP="003D3BAD">
            <w:pPr>
              <w:adjustRightInd w:val="0"/>
              <w:spacing w:after="0" w:line="240" w:lineRule="auto"/>
              <w:ind w:left="-14"/>
              <w:jc w:val="both"/>
              <w:rPr>
                <w:rFonts w:ascii="Cambria" w:eastAsia="Times New Roman" w:hAnsi="Cambria"/>
                <w:i/>
                <w:iCs/>
                <w:color w:val="000000"/>
                <w:lang w:val="id"/>
              </w:rPr>
            </w:pPr>
          </w:p>
        </w:tc>
        <w:tc>
          <w:tcPr>
            <w:tcW w:w="1177" w:type="dxa"/>
            <w:tcBorders>
              <w:top w:val="nil"/>
              <w:left w:val="nil"/>
              <w:bottom w:val="nil"/>
              <w:right w:val="nil"/>
            </w:tcBorders>
            <w:shd w:val="clear" w:color="auto" w:fill="FFFFFF"/>
          </w:tcPr>
          <w:p w14:paraId="1E243F03"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ROA</w:t>
            </w:r>
          </w:p>
        </w:tc>
        <w:tc>
          <w:tcPr>
            <w:tcW w:w="1331" w:type="dxa"/>
            <w:tcBorders>
              <w:top w:val="nil"/>
              <w:left w:val="nil"/>
              <w:bottom w:val="nil"/>
              <w:right w:val="nil"/>
            </w:tcBorders>
            <w:shd w:val="clear" w:color="auto" w:fill="FFFFFF"/>
            <w:vAlign w:val="center"/>
          </w:tcPr>
          <w:p w14:paraId="6F9214CD"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8.951</w:t>
            </w:r>
          </w:p>
        </w:tc>
        <w:tc>
          <w:tcPr>
            <w:tcW w:w="1331" w:type="dxa"/>
            <w:tcBorders>
              <w:top w:val="nil"/>
              <w:left w:val="nil"/>
              <w:bottom w:val="nil"/>
              <w:right w:val="nil"/>
            </w:tcBorders>
            <w:shd w:val="clear" w:color="auto" w:fill="FFFFFF"/>
            <w:vAlign w:val="center"/>
          </w:tcPr>
          <w:p w14:paraId="5234FDF3"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6.246</w:t>
            </w:r>
          </w:p>
        </w:tc>
        <w:tc>
          <w:tcPr>
            <w:tcW w:w="1469" w:type="dxa"/>
            <w:tcBorders>
              <w:top w:val="nil"/>
              <w:left w:val="nil"/>
              <w:bottom w:val="nil"/>
              <w:right w:val="nil"/>
            </w:tcBorders>
            <w:shd w:val="clear" w:color="auto" w:fill="FFFFFF"/>
            <w:vAlign w:val="center"/>
          </w:tcPr>
          <w:p w14:paraId="55FF2852"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.301</w:t>
            </w:r>
          </w:p>
        </w:tc>
        <w:tc>
          <w:tcPr>
            <w:tcW w:w="1010" w:type="dxa"/>
            <w:tcBorders>
              <w:top w:val="nil"/>
              <w:left w:val="nil"/>
              <w:bottom w:val="nil"/>
              <w:right w:val="nil"/>
            </w:tcBorders>
            <w:shd w:val="clear" w:color="auto" w:fill="FFFFFF"/>
            <w:vAlign w:val="center"/>
          </w:tcPr>
          <w:p w14:paraId="38BAB1D9"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1.433</w:t>
            </w:r>
          </w:p>
        </w:tc>
        <w:tc>
          <w:tcPr>
            <w:tcW w:w="1010" w:type="dxa"/>
            <w:tcBorders>
              <w:top w:val="nil"/>
              <w:left w:val="nil"/>
              <w:bottom w:val="nil"/>
              <w:right w:val="nil"/>
            </w:tcBorders>
            <w:shd w:val="clear" w:color="auto" w:fill="FFFFFF"/>
            <w:vAlign w:val="center"/>
          </w:tcPr>
          <w:p w14:paraId="6D45A66C"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.155</w:t>
            </w:r>
          </w:p>
        </w:tc>
      </w:tr>
      <w:tr w:rsidR="00DA041B" w:rsidRPr="00E26457" w14:paraId="065B5E63" w14:textId="77777777" w:rsidTr="003D3BAD">
        <w:trPr>
          <w:cantSplit/>
        </w:trPr>
        <w:tc>
          <w:tcPr>
            <w:tcW w:w="733" w:type="dxa"/>
            <w:vMerge/>
            <w:tcBorders>
              <w:top w:val="nil"/>
              <w:left w:val="nil"/>
              <w:bottom w:val="nil"/>
              <w:right w:val="nil"/>
            </w:tcBorders>
            <w:shd w:val="clear" w:color="auto" w:fill="FFFFFF"/>
          </w:tcPr>
          <w:p w14:paraId="5B595E93" w14:textId="77777777" w:rsidR="00DA041B" w:rsidRPr="00E26457" w:rsidRDefault="00DA041B" w:rsidP="003D3BAD">
            <w:pPr>
              <w:adjustRightInd w:val="0"/>
              <w:spacing w:after="0" w:line="240" w:lineRule="auto"/>
              <w:ind w:left="-14"/>
              <w:jc w:val="both"/>
              <w:rPr>
                <w:rFonts w:ascii="Cambria" w:eastAsia="Times New Roman" w:hAnsi="Cambria"/>
                <w:i/>
                <w:iCs/>
                <w:color w:val="000000"/>
                <w:lang w:val="id"/>
              </w:rPr>
            </w:pPr>
          </w:p>
        </w:tc>
        <w:tc>
          <w:tcPr>
            <w:tcW w:w="1177" w:type="dxa"/>
            <w:tcBorders>
              <w:top w:val="nil"/>
              <w:left w:val="nil"/>
              <w:bottom w:val="nil"/>
              <w:right w:val="nil"/>
            </w:tcBorders>
            <w:shd w:val="clear" w:color="auto" w:fill="FFFFFF"/>
          </w:tcPr>
          <w:p w14:paraId="0E8E07C5"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EPS</w:t>
            </w:r>
          </w:p>
        </w:tc>
        <w:tc>
          <w:tcPr>
            <w:tcW w:w="1331" w:type="dxa"/>
            <w:tcBorders>
              <w:top w:val="nil"/>
              <w:left w:val="nil"/>
              <w:bottom w:val="nil"/>
              <w:right w:val="nil"/>
            </w:tcBorders>
            <w:shd w:val="clear" w:color="auto" w:fill="FFFFFF"/>
            <w:vAlign w:val="center"/>
          </w:tcPr>
          <w:p w14:paraId="79CCC649"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.157</w:t>
            </w:r>
          </w:p>
        </w:tc>
        <w:tc>
          <w:tcPr>
            <w:tcW w:w="1331" w:type="dxa"/>
            <w:tcBorders>
              <w:top w:val="nil"/>
              <w:left w:val="nil"/>
              <w:bottom w:val="nil"/>
              <w:right w:val="nil"/>
            </w:tcBorders>
            <w:shd w:val="clear" w:color="auto" w:fill="FFFFFF"/>
            <w:vAlign w:val="center"/>
          </w:tcPr>
          <w:p w14:paraId="3FDFE7CA"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3.923</w:t>
            </w:r>
          </w:p>
        </w:tc>
        <w:tc>
          <w:tcPr>
            <w:tcW w:w="1469" w:type="dxa"/>
            <w:tcBorders>
              <w:top w:val="nil"/>
              <w:left w:val="nil"/>
              <w:bottom w:val="nil"/>
              <w:right w:val="nil"/>
            </w:tcBorders>
            <w:shd w:val="clear" w:color="auto" w:fill="FFFFFF"/>
            <w:vAlign w:val="center"/>
          </w:tcPr>
          <w:p w14:paraId="0BCC013C"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.009</w:t>
            </w:r>
          </w:p>
        </w:tc>
        <w:tc>
          <w:tcPr>
            <w:tcW w:w="1010" w:type="dxa"/>
            <w:tcBorders>
              <w:top w:val="nil"/>
              <w:left w:val="nil"/>
              <w:bottom w:val="nil"/>
              <w:right w:val="nil"/>
            </w:tcBorders>
            <w:shd w:val="clear" w:color="auto" w:fill="FFFFFF"/>
            <w:vAlign w:val="center"/>
          </w:tcPr>
          <w:p w14:paraId="2C580DE6"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.040</w:t>
            </w:r>
          </w:p>
        </w:tc>
        <w:tc>
          <w:tcPr>
            <w:tcW w:w="1010" w:type="dxa"/>
            <w:tcBorders>
              <w:top w:val="nil"/>
              <w:left w:val="nil"/>
              <w:bottom w:val="nil"/>
              <w:right w:val="nil"/>
            </w:tcBorders>
            <w:shd w:val="clear" w:color="auto" w:fill="FFFFFF"/>
            <w:vAlign w:val="center"/>
          </w:tcPr>
          <w:p w14:paraId="491A05BF"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.968</w:t>
            </w:r>
          </w:p>
        </w:tc>
      </w:tr>
      <w:tr w:rsidR="00DA041B" w:rsidRPr="00E26457" w14:paraId="72A96054" w14:textId="77777777" w:rsidTr="003D3BAD">
        <w:trPr>
          <w:cantSplit/>
        </w:trPr>
        <w:tc>
          <w:tcPr>
            <w:tcW w:w="733" w:type="dxa"/>
            <w:vMerge/>
            <w:tcBorders>
              <w:top w:val="nil"/>
              <w:left w:val="nil"/>
              <w:bottom w:val="nil"/>
              <w:right w:val="nil"/>
            </w:tcBorders>
            <w:shd w:val="clear" w:color="auto" w:fill="FFFFFF"/>
          </w:tcPr>
          <w:p w14:paraId="7A40A1F3" w14:textId="77777777" w:rsidR="00DA041B" w:rsidRPr="00E26457" w:rsidRDefault="00DA041B" w:rsidP="003D3BAD">
            <w:pPr>
              <w:adjustRightInd w:val="0"/>
              <w:spacing w:after="0" w:line="240" w:lineRule="auto"/>
              <w:ind w:left="-14"/>
              <w:jc w:val="both"/>
              <w:rPr>
                <w:rFonts w:ascii="Cambria" w:eastAsia="Times New Roman" w:hAnsi="Cambria"/>
                <w:i/>
                <w:iCs/>
                <w:color w:val="000000"/>
                <w:lang w:val="id"/>
              </w:rPr>
            </w:pPr>
          </w:p>
        </w:tc>
        <w:tc>
          <w:tcPr>
            <w:tcW w:w="1177" w:type="dxa"/>
            <w:tcBorders>
              <w:top w:val="nil"/>
              <w:left w:val="nil"/>
              <w:bottom w:val="nil"/>
              <w:right w:val="nil"/>
            </w:tcBorders>
            <w:shd w:val="clear" w:color="auto" w:fill="FFFFFF"/>
          </w:tcPr>
          <w:p w14:paraId="1C91EB01"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ROE</w:t>
            </w:r>
          </w:p>
        </w:tc>
        <w:tc>
          <w:tcPr>
            <w:tcW w:w="1331" w:type="dxa"/>
            <w:tcBorders>
              <w:top w:val="nil"/>
              <w:left w:val="nil"/>
              <w:bottom w:val="nil"/>
              <w:right w:val="nil"/>
            </w:tcBorders>
            <w:shd w:val="clear" w:color="auto" w:fill="FFFFFF"/>
            <w:vAlign w:val="center"/>
          </w:tcPr>
          <w:p w14:paraId="24F1456E"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.015</w:t>
            </w:r>
          </w:p>
        </w:tc>
        <w:tc>
          <w:tcPr>
            <w:tcW w:w="1331" w:type="dxa"/>
            <w:tcBorders>
              <w:top w:val="nil"/>
              <w:left w:val="nil"/>
              <w:bottom w:val="nil"/>
              <w:right w:val="nil"/>
            </w:tcBorders>
            <w:shd w:val="clear" w:color="auto" w:fill="FFFFFF"/>
            <w:vAlign w:val="center"/>
          </w:tcPr>
          <w:p w14:paraId="57014C0D"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.005</w:t>
            </w:r>
          </w:p>
        </w:tc>
        <w:tc>
          <w:tcPr>
            <w:tcW w:w="1469" w:type="dxa"/>
            <w:tcBorders>
              <w:top w:val="nil"/>
              <w:left w:val="nil"/>
              <w:bottom w:val="nil"/>
              <w:right w:val="nil"/>
            </w:tcBorders>
            <w:shd w:val="clear" w:color="auto" w:fill="FFFFFF"/>
            <w:vAlign w:val="center"/>
          </w:tcPr>
          <w:p w14:paraId="67CF6650"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.319</w:t>
            </w:r>
          </w:p>
        </w:tc>
        <w:tc>
          <w:tcPr>
            <w:tcW w:w="1010" w:type="dxa"/>
            <w:tcBorders>
              <w:top w:val="nil"/>
              <w:left w:val="nil"/>
              <w:bottom w:val="nil"/>
              <w:right w:val="nil"/>
            </w:tcBorders>
            <w:shd w:val="clear" w:color="auto" w:fill="FFFFFF"/>
            <w:vAlign w:val="center"/>
          </w:tcPr>
          <w:p w14:paraId="1A94F1DE"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2.832</w:t>
            </w:r>
          </w:p>
        </w:tc>
        <w:tc>
          <w:tcPr>
            <w:tcW w:w="1010" w:type="dxa"/>
            <w:tcBorders>
              <w:top w:val="nil"/>
              <w:left w:val="nil"/>
              <w:bottom w:val="nil"/>
              <w:right w:val="nil"/>
            </w:tcBorders>
            <w:shd w:val="clear" w:color="auto" w:fill="FFFFFF"/>
            <w:vAlign w:val="center"/>
          </w:tcPr>
          <w:p w14:paraId="5F0F8D37"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.006</w:t>
            </w:r>
          </w:p>
        </w:tc>
      </w:tr>
      <w:tr w:rsidR="00DA041B" w:rsidRPr="00E26457" w14:paraId="1F38A901" w14:textId="77777777" w:rsidTr="003D3BAD">
        <w:trPr>
          <w:cantSplit/>
        </w:trPr>
        <w:tc>
          <w:tcPr>
            <w:tcW w:w="733" w:type="dxa"/>
            <w:vMerge/>
            <w:tcBorders>
              <w:top w:val="nil"/>
              <w:left w:val="nil"/>
              <w:bottom w:val="nil"/>
              <w:right w:val="nil"/>
            </w:tcBorders>
            <w:shd w:val="clear" w:color="auto" w:fill="FFFFFF"/>
          </w:tcPr>
          <w:p w14:paraId="66E15F30" w14:textId="77777777" w:rsidR="00DA041B" w:rsidRPr="00E26457" w:rsidRDefault="00DA041B" w:rsidP="003D3BAD">
            <w:pPr>
              <w:adjustRightInd w:val="0"/>
              <w:spacing w:after="0" w:line="240" w:lineRule="auto"/>
              <w:ind w:left="-14"/>
              <w:jc w:val="both"/>
              <w:rPr>
                <w:rFonts w:ascii="Cambria" w:eastAsia="Times New Roman" w:hAnsi="Cambria"/>
                <w:i/>
                <w:iCs/>
                <w:color w:val="000000"/>
                <w:lang w:val="id"/>
              </w:rPr>
            </w:pPr>
          </w:p>
        </w:tc>
        <w:tc>
          <w:tcPr>
            <w:tcW w:w="1177" w:type="dxa"/>
            <w:tcBorders>
              <w:top w:val="nil"/>
              <w:left w:val="nil"/>
              <w:bottom w:val="nil"/>
              <w:right w:val="nil"/>
            </w:tcBorders>
            <w:shd w:val="clear" w:color="auto" w:fill="FFFFFF"/>
          </w:tcPr>
          <w:p w14:paraId="6F0DAB32"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NPM</w:t>
            </w:r>
          </w:p>
        </w:tc>
        <w:tc>
          <w:tcPr>
            <w:tcW w:w="1331" w:type="dxa"/>
            <w:tcBorders>
              <w:top w:val="nil"/>
              <w:left w:val="nil"/>
              <w:bottom w:val="nil"/>
              <w:right w:val="nil"/>
            </w:tcBorders>
            <w:shd w:val="clear" w:color="auto" w:fill="FFFFFF"/>
            <w:vAlign w:val="center"/>
          </w:tcPr>
          <w:p w14:paraId="7A6D998B"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-.286</w:t>
            </w:r>
          </w:p>
        </w:tc>
        <w:tc>
          <w:tcPr>
            <w:tcW w:w="1331" w:type="dxa"/>
            <w:tcBorders>
              <w:top w:val="nil"/>
              <w:left w:val="nil"/>
              <w:bottom w:val="nil"/>
              <w:right w:val="nil"/>
            </w:tcBorders>
            <w:shd w:val="clear" w:color="auto" w:fill="FFFFFF"/>
            <w:vAlign w:val="center"/>
          </w:tcPr>
          <w:p w14:paraId="59A8576A"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2.791</w:t>
            </w:r>
          </w:p>
        </w:tc>
        <w:tc>
          <w:tcPr>
            <w:tcW w:w="1469" w:type="dxa"/>
            <w:tcBorders>
              <w:top w:val="nil"/>
              <w:left w:val="nil"/>
              <w:bottom w:val="nil"/>
              <w:right w:val="nil"/>
            </w:tcBorders>
            <w:shd w:val="clear" w:color="auto" w:fill="FFFFFF"/>
            <w:vAlign w:val="center"/>
          </w:tcPr>
          <w:p w14:paraId="2A2E6955"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-.014</w:t>
            </w:r>
          </w:p>
        </w:tc>
        <w:tc>
          <w:tcPr>
            <w:tcW w:w="1010" w:type="dxa"/>
            <w:tcBorders>
              <w:top w:val="nil"/>
              <w:left w:val="nil"/>
              <w:bottom w:val="nil"/>
              <w:right w:val="nil"/>
            </w:tcBorders>
            <w:shd w:val="clear" w:color="auto" w:fill="FFFFFF"/>
            <w:vAlign w:val="center"/>
          </w:tcPr>
          <w:p w14:paraId="518BA3F7"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-.103</w:t>
            </w:r>
          </w:p>
        </w:tc>
        <w:tc>
          <w:tcPr>
            <w:tcW w:w="1010" w:type="dxa"/>
            <w:tcBorders>
              <w:top w:val="nil"/>
              <w:left w:val="nil"/>
              <w:bottom w:val="nil"/>
              <w:right w:val="nil"/>
            </w:tcBorders>
            <w:shd w:val="clear" w:color="auto" w:fill="FFFFFF"/>
            <w:vAlign w:val="center"/>
          </w:tcPr>
          <w:p w14:paraId="751E1C82" w14:textId="77777777" w:rsidR="00DA041B" w:rsidRPr="00E26457" w:rsidRDefault="00DA041B" w:rsidP="003D3BAD">
            <w:pPr>
              <w:adjustRightInd w:val="0"/>
              <w:spacing w:after="0" w:line="240" w:lineRule="auto"/>
              <w:ind w:left="60" w:right="60"/>
              <w:jc w:val="both"/>
              <w:rPr>
                <w:rFonts w:ascii="Cambria" w:eastAsia="Times New Roman" w:hAnsi="Cambria"/>
                <w:color w:val="000000"/>
                <w:lang w:val="id"/>
              </w:rPr>
            </w:pPr>
            <w:r w:rsidRPr="00E26457">
              <w:rPr>
                <w:rFonts w:ascii="Cambria" w:eastAsia="Times New Roman" w:hAnsi="Cambria"/>
                <w:color w:val="000000"/>
                <w:lang w:val="id"/>
              </w:rPr>
              <w:t>.919</w:t>
            </w:r>
          </w:p>
        </w:tc>
      </w:tr>
      <w:tr w:rsidR="00DA041B" w:rsidRPr="00E26457" w14:paraId="49C4E7F2" w14:textId="77777777" w:rsidTr="003D3BAD">
        <w:trPr>
          <w:cantSplit/>
        </w:trPr>
        <w:tc>
          <w:tcPr>
            <w:tcW w:w="8061" w:type="dxa"/>
            <w:gridSpan w:val="7"/>
            <w:tcBorders>
              <w:top w:val="nil"/>
              <w:left w:val="nil"/>
              <w:bottom w:val="nil"/>
              <w:right w:val="nil"/>
            </w:tcBorders>
            <w:shd w:val="clear" w:color="auto" w:fill="FFFFFF"/>
          </w:tcPr>
          <w:p w14:paraId="5BB855EA" w14:textId="77777777" w:rsidR="00DA041B" w:rsidRPr="00E26457" w:rsidRDefault="00DA041B" w:rsidP="003D3BAD">
            <w:pPr>
              <w:adjustRightInd w:val="0"/>
              <w:spacing w:after="0" w:line="240" w:lineRule="auto"/>
              <w:ind w:left="60" w:right="60"/>
              <w:jc w:val="both"/>
              <w:rPr>
                <w:rFonts w:ascii="Cambria" w:eastAsia="Times New Roman" w:hAnsi="Cambria"/>
                <w:i/>
                <w:iCs/>
                <w:color w:val="000000"/>
                <w:lang w:val="id"/>
              </w:rPr>
            </w:pPr>
            <w:r w:rsidRPr="00E26457">
              <w:rPr>
                <w:rFonts w:ascii="Cambria" w:eastAsia="Times New Roman" w:hAnsi="Cambria"/>
                <w:i/>
                <w:iCs/>
                <w:color w:val="000000"/>
                <w:lang w:val="id"/>
              </w:rPr>
              <w:t>a. Dependent Variable: HARGA SAHAM (Y)</w:t>
            </w:r>
          </w:p>
        </w:tc>
      </w:tr>
    </w:tbl>
    <w:p w14:paraId="74359D84" w14:textId="63FBBADB" w:rsidR="006005CE" w:rsidRPr="00E26457" w:rsidRDefault="006005CE" w:rsidP="00F42CB5">
      <w:pPr>
        <w:spacing w:after="0" w:line="240" w:lineRule="auto"/>
        <w:jc w:val="both"/>
        <w:rPr>
          <w:rFonts w:ascii="Cambria" w:hAnsi="Cambria"/>
          <w:b/>
          <w:bCs/>
        </w:rPr>
      </w:pPr>
    </w:p>
    <w:p w14:paraId="24378322" w14:textId="77777777" w:rsidR="002D7EF6" w:rsidRPr="00E26457" w:rsidRDefault="002D7EF6" w:rsidP="00F42CB5">
      <w:pPr>
        <w:spacing w:after="0" w:line="240" w:lineRule="auto"/>
        <w:jc w:val="both"/>
        <w:rPr>
          <w:rFonts w:ascii="Cambria" w:hAnsi="Cambria"/>
          <w:b/>
          <w:bCs/>
        </w:rPr>
      </w:pPr>
      <w:bookmarkStart w:id="6" w:name="_Hlk175244185"/>
      <w:r w:rsidRPr="00E26457">
        <w:rPr>
          <w:rFonts w:ascii="Cambria" w:hAnsi="Cambria"/>
          <w:b/>
          <w:bCs/>
        </w:rPr>
        <w:t xml:space="preserve">Pengaruh </w:t>
      </w:r>
      <w:r w:rsidRPr="00E26457">
        <w:rPr>
          <w:rFonts w:ascii="Cambria" w:hAnsi="Cambria"/>
          <w:b/>
          <w:bCs/>
          <w:i/>
        </w:rPr>
        <w:t>Return On Asset</w:t>
      </w:r>
      <w:r w:rsidRPr="00E26457">
        <w:rPr>
          <w:rFonts w:ascii="Cambria" w:hAnsi="Cambria"/>
          <w:b/>
          <w:bCs/>
        </w:rPr>
        <w:t xml:space="preserve"> terhadap Harga Saham </w:t>
      </w:r>
    </w:p>
    <w:bookmarkEnd w:id="6"/>
    <w:p w14:paraId="47D188B0" w14:textId="1DFCD7C6" w:rsidR="00543FB3" w:rsidRPr="00E26457" w:rsidRDefault="00DB4D42" w:rsidP="00F42CB5">
      <w:pPr>
        <w:adjustRightInd w:val="0"/>
        <w:spacing w:after="0" w:line="240" w:lineRule="auto"/>
        <w:ind w:firstLine="576"/>
        <w:jc w:val="both"/>
        <w:rPr>
          <w:rFonts w:ascii="Cambria" w:eastAsia="Times New Roman" w:hAnsi="Cambria"/>
          <w:lang w:val="id"/>
        </w:rPr>
      </w:pPr>
      <w:r w:rsidRPr="00E26457">
        <w:rPr>
          <w:rFonts w:ascii="Cambria" w:eastAsia="Times New Roman" w:hAnsi="Cambria"/>
        </w:rPr>
        <w:t xml:space="preserve">Tingkat signifikansi variabel </w:t>
      </w:r>
      <w:r w:rsidR="00EF1C89" w:rsidRPr="00E26457">
        <w:rPr>
          <w:rFonts w:ascii="Cambria" w:eastAsia="Times New Roman" w:hAnsi="Cambria"/>
          <w:i/>
        </w:rPr>
        <w:t>ROA</w:t>
      </w:r>
      <w:r w:rsidR="008744A4" w:rsidRPr="00E26457">
        <w:rPr>
          <w:rFonts w:ascii="Cambria" w:eastAsia="Times New Roman" w:hAnsi="Cambria"/>
        </w:rPr>
        <w:t xml:space="preserve"> pada</w:t>
      </w:r>
      <w:r w:rsidRPr="00E26457">
        <w:rPr>
          <w:rFonts w:ascii="Cambria" w:eastAsia="Times New Roman" w:hAnsi="Cambria"/>
        </w:rPr>
        <w:t xml:space="preserve"> harga saham ditemukan 0,115 dalam temuan pengujian, yang lebih dari tingkat signifikansi 0,05. Tidak ada hubungan antara </w:t>
      </w:r>
      <w:r w:rsidR="00EF1C89" w:rsidRPr="00E26457">
        <w:rPr>
          <w:rFonts w:ascii="Cambria" w:eastAsia="Times New Roman" w:hAnsi="Cambria"/>
          <w:i/>
        </w:rPr>
        <w:t>ROA</w:t>
      </w:r>
      <w:r w:rsidRPr="00E26457">
        <w:rPr>
          <w:rFonts w:ascii="Cambria" w:eastAsia="Times New Roman" w:hAnsi="Cambria"/>
        </w:rPr>
        <w:t xml:space="preserve"> dan pergerakan harga saham. </w:t>
      </w:r>
      <w:r w:rsidR="008744A4" w:rsidRPr="00E26457">
        <w:rPr>
          <w:rFonts w:ascii="Cambria" w:eastAsia="Times New Roman" w:hAnsi="Cambria"/>
        </w:rPr>
        <w:t>T</w:t>
      </w:r>
      <w:r w:rsidRPr="00E26457">
        <w:rPr>
          <w:rFonts w:ascii="Cambria" w:eastAsia="Times New Roman" w:hAnsi="Cambria"/>
        </w:rPr>
        <w:t xml:space="preserve">erjadi jika investor berfokus pada potensi profitabilitas internal perusahaan dan faktor eksternal seperti kondisi pasar dan bahaya. Inflasi, kenaikan tarif, dan perubahan kebijakan ekonomi dan politik adalah contoh risiko eksternal yang tidak dapat dikendalikan oleh perusahaan. Perubahan harga saham dapat disebabkan oleh pilihan investasi yang dipengaruhi oleh penawaran dan permintaan di pasar modal. Hal ini sependapat dengan temuan Daulat Freddy Simanjuntak (2021) dan Jiddan Ath Thaariq dan Suparno Padikromo (2024) yang juga menemukan bahwa </w:t>
      </w:r>
      <w:r w:rsidR="00EF1C89" w:rsidRPr="00E26457">
        <w:rPr>
          <w:rFonts w:ascii="Cambria" w:eastAsia="Times New Roman" w:hAnsi="Cambria"/>
          <w:i/>
        </w:rPr>
        <w:t>ROA</w:t>
      </w:r>
      <w:r w:rsidRPr="00E26457">
        <w:rPr>
          <w:rFonts w:ascii="Cambria" w:eastAsia="Times New Roman" w:hAnsi="Cambria"/>
        </w:rPr>
        <w:t xml:space="preserve"> tidak berpengaruh terhadap harga saham</w:t>
      </w:r>
      <w:r w:rsidR="00611D6B" w:rsidRPr="00E26457">
        <w:rPr>
          <w:rFonts w:ascii="Cambria" w:eastAsia="Times New Roman" w:hAnsi="Cambria"/>
          <w:lang w:val="id"/>
        </w:rPr>
        <w:t>.</w:t>
      </w:r>
    </w:p>
    <w:p w14:paraId="2FFC09D1" w14:textId="77777777" w:rsidR="00611D6B" w:rsidRPr="00E26457" w:rsidRDefault="00611D6B" w:rsidP="00F42CB5">
      <w:pPr>
        <w:adjustRightInd w:val="0"/>
        <w:spacing w:after="0" w:line="240" w:lineRule="auto"/>
        <w:ind w:firstLine="576"/>
        <w:jc w:val="both"/>
        <w:rPr>
          <w:rFonts w:ascii="Cambria" w:eastAsia="Times New Roman" w:hAnsi="Cambria"/>
          <w:lang w:val="id"/>
        </w:rPr>
      </w:pPr>
    </w:p>
    <w:p w14:paraId="38353484" w14:textId="430F7A27" w:rsidR="00611D6B" w:rsidRPr="00E26457" w:rsidRDefault="00611D6B" w:rsidP="00F42CB5">
      <w:pPr>
        <w:spacing w:after="0" w:line="240" w:lineRule="auto"/>
        <w:jc w:val="both"/>
        <w:rPr>
          <w:rFonts w:ascii="Cambria" w:hAnsi="Cambria"/>
          <w:b/>
          <w:bCs/>
        </w:rPr>
      </w:pPr>
      <w:r w:rsidRPr="00E26457">
        <w:rPr>
          <w:rFonts w:ascii="Cambria" w:hAnsi="Cambria"/>
          <w:b/>
          <w:bCs/>
        </w:rPr>
        <w:t xml:space="preserve">Pengaruh </w:t>
      </w:r>
      <w:r w:rsidRPr="00E26457">
        <w:rPr>
          <w:rFonts w:ascii="Cambria" w:hAnsi="Cambria"/>
          <w:b/>
          <w:bCs/>
          <w:i/>
        </w:rPr>
        <w:t xml:space="preserve">Earning Per Share </w:t>
      </w:r>
      <w:r w:rsidRPr="00E26457">
        <w:rPr>
          <w:rFonts w:ascii="Cambria" w:hAnsi="Cambria"/>
          <w:b/>
          <w:bCs/>
        </w:rPr>
        <w:t xml:space="preserve">terhadap Harga Saham </w:t>
      </w:r>
    </w:p>
    <w:p w14:paraId="1DFD5E76" w14:textId="1FF17ACF" w:rsidR="00611D6B" w:rsidRPr="00E26457" w:rsidRDefault="00DB4D42" w:rsidP="00F42CB5">
      <w:pPr>
        <w:spacing w:after="0" w:line="240" w:lineRule="auto"/>
        <w:ind w:firstLine="576"/>
        <w:jc w:val="both"/>
        <w:rPr>
          <w:rFonts w:ascii="Cambria" w:eastAsia="Times New Roman" w:hAnsi="Cambria"/>
          <w:b/>
          <w:bCs/>
          <w:lang w:val="id"/>
        </w:rPr>
      </w:pPr>
      <w:r w:rsidRPr="00E26457">
        <w:rPr>
          <w:rFonts w:ascii="Cambria" w:eastAsia="Times New Roman" w:hAnsi="Cambria"/>
          <w:lang w:val="id"/>
        </w:rPr>
        <w:t xml:space="preserve">Berdasarkan hasil pengujian, pengaruh variabel Laba Per Lembar Saham terhadap harga saham adalah 0,698 yang secara statistik signifikan (p&gt;0,05). Perusahaan-perusahaan di sektor manufaktur makanan dan minuman yang terdaftar di </w:t>
      </w:r>
      <w:r w:rsidRPr="00E26457">
        <w:rPr>
          <w:rFonts w:ascii="Cambria" w:eastAsia="Times New Roman" w:hAnsi="Cambria"/>
        </w:rPr>
        <w:t>BEI</w:t>
      </w:r>
      <w:r w:rsidRPr="00E26457">
        <w:rPr>
          <w:rFonts w:ascii="Cambria" w:eastAsia="Times New Roman" w:hAnsi="Cambria"/>
          <w:lang w:val="id"/>
        </w:rPr>
        <w:t xml:space="preserve"> tidak terpengaruh harga sahamnya oleh </w:t>
      </w:r>
      <w:r w:rsidR="00EF1C89" w:rsidRPr="00E26457">
        <w:rPr>
          <w:rFonts w:ascii="Cambria" w:eastAsia="Times New Roman" w:hAnsi="Cambria"/>
          <w:i/>
        </w:rPr>
        <w:t>EPS</w:t>
      </w:r>
      <w:r w:rsidRPr="00E26457">
        <w:rPr>
          <w:rFonts w:ascii="Cambria" w:eastAsia="Times New Roman" w:hAnsi="Cambria"/>
          <w:lang w:val="id"/>
        </w:rPr>
        <w:t xml:space="preserve"> pada tahun 2020 sampai dengan tahun 2023. Jelas, hal ini membantah penggunaan </w:t>
      </w:r>
      <w:r w:rsidR="00EF1C89" w:rsidRPr="00E26457">
        <w:rPr>
          <w:rFonts w:ascii="Cambria" w:eastAsia="Times New Roman" w:hAnsi="Cambria"/>
          <w:i/>
          <w:lang w:val="id"/>
        </w:rPr>
        <w:t>EPS</w:t>
      </w:r>
      <w:r w:rsidRPr="00E26457">
        <w:rPr>
          <w:rFonts w:ascii="Cambria" w:eastAsia="Times New Roman" w:hAnsi="Cambria"/>
          <w:lang w:val="id"/>
        </w:rPr>
        <w:t xml:space="preserve"> sebagai prediktor harga saham untuk perusahaan makanan dan minuman. Terlepas dari kenyataan bahwa investor menaruh uang mereka di sebuah perusahaan dengan harapan akan adanya pengembalian atas investasi mereka, perusahaan jarang sekali membagikan dividen kepada para pemegang sahamnya. Akibatnya, investor tidak menggunakan </w:t>
      </w:r>
      <w:r w:rsidR="00EF1C89" w:rsidRPr="00E26457">
        <w:rPr>
          <w:rFonts w:ascii="Cambria" w:eastAsia="Times New Roman" w:hAnsi="Cambria"/>
          <w:i/>
          <w:lang w:val="id"/>
        </w:rPr>
        <w:t>EPS</w:t>
      </w:r>
      <w:r w:rsidRPr="00E26457">
        <w:rPr>
          <w:rFonts w:ascii="Cambria" w:eastAsia="Times New Roman" w:hAnsi="Cambria"/>
          <w:lang w:val="id"/>
        </w:rPr>
        <w:t xml:space="preserve"> yang tinggi sebagai prediktor harga saham karena tidak menjamin pengembalian yang diinginkan. Temuan Cahya Rahmatiah (2020) yang menyatakan bahwa </w:t>
      </w:r>
      <w:r w:rsidR="00EF1C89" w:rsidRPr="00E26457">
        <w:rPr>
          <w:rFonts w:ascii="Cambria" w:eastAsia="Times New Roman" w:hAnsi="Cambria"/>
          <w:i/>
          <w:lang w:val="id"/>
        </w:rPr>
        <w:t>EPS</w:t>
      </w:r>
      <w:r w:rsidRPr="00E26457">
        <w:rPr>
          <w:rFonts w:ascii="Cambria" w:eastAsia="Times New Roman" w:hAnsi="Cambria"/>
          <w:lang w:val="id"/>
        </w:rPr>
        <w:t xml:space="preserve"> tidak terlalu </w:t>
      </w:r>
      <w:r w:rsidR="008744A4" w:rsidRPr="00E26457">
        <w:rPr>
          <w:rFonts w:ascii="Cambria" w:eastAsia="Times New Roman" w:hAnsi="Cambria"/>
        </w:rPr>
        <w:t>berdampak pada</w:t>
      </w:r>
      <w:r w:rsidRPr="00E26457">
        <w:rPr>
          <w:rFonts w:ascii="Cambria" w:eastAsia="Times New Roman" w:hAnsi="Cambria"/>
          <w:lang w:val="id"/>
        </w:rPr>
        <w:t xml:space="preserve"> harga saham bertentangan dengan hal ini</w:t>
      </w:r>
      <w:r w:rsidR="00543FB3" w:rsidRPr="00E26457">
        <w:rPr>
          <w:rFonts w:ascii="Cambria" w:eastAsia="Times New Roman" w:hAnsi="Cambria"/>
          <w:b/>
          <w:bCs/>
          <w:lang w:val="id"/>
        </w:rPr>
        <w:t>.</w:t>
      </w:r>
    </w:p>
    <w:p w14:paraId="5BBCF49E" w14:textId="77777777" w:rsidR="00611D6B" w:rsidRPr="00E26457" w:rsidRDefault="00611D6B" w:rsidP="00F42CB5">
      <w:pPr>
        <w:spacing w:after="0" w:line="240" w:lineRule="auto"/>
        <w:ind w:firstLine="576"/>
        <w:jc w:val="both"/>
        <w:rPr>
          <w:rFonts w:ascii="Cambria" w:eastAsia="Times New Roman" w:hAnsi="Cambria"/>
          <w:b/>
          <w:bCs/>
          <w:lang w:val="id"/>
        </w:rPr>
      </w:pPr>
    </w:p>
    <w:p w14:paraId="200D800D" w14:textId="6FC8A959" w:rsidR="00611D6B" w:rsidRPr="00E26457" w:rsidRDefault="00611D6B" w:rsidP="00F42CB5">
      <w:pPr>
        <w:spacing w:after="0" w:line="240" w:lineRule="auto"/>
        <w:jc w:val="both"/>
        <w:rPr>
          <w:rFonts w:ascii="Cambria" w:eastAsia="Times New Roman" w:hAnsi="Cambria"/>
          <w:b/>
          <w:bCs/>
          <w:lang w:val="id"/>
        </w:rPr>
      </w:pPr>
      <w:r w:rsidRPr="00E26457">
        <w:rPr>
          <w:rFonts w:ascii="Cambria" w:eastAsia="Times New Roman" w:hAnsi="Cambria"/>
          <w:b/>
          <w:bCs/>
          <w:iCs/>
        </w:rPr>
        <w:t xml:space="preserve">Pengaruh </w:t>
      </w:r>
      <w:r w:rsidRPr="00E26457">
        <w:rPr>
          <w:rFonts w:ascii="Cambria" w:eastAsia="Times New Roman" w:hAnsi="Cambria"/>
          <w:b/>
          <w:bCs/>
          <w:i/>
        </w:rPr>
        <w:t xml:space="preserve">Return On Equity  </w:t>
      </w:r>
      <w:r w:rsidRPr="00E26457">
        <w:rPr>
          <w:rFonts w:ascii="Cambria" w:eastAsia="Times New Roman" w:hAnsi="Cambria"/>
          <w:b/>
          <w:bCs/>
        </w:rPr>
        <w:t>terhadap Harga Saham</w:t>
      </w:r>
    </w:p>
    <w:p w14:paraId="58AC56E0" w14:textId="1EBA95CC" w:rsidR="00543FB3" w:rsidRPr="00E26457" w:rsidRDefault="00DB4D42" w:rsidP="00F42CB5">
      <w:pPr>
        <w:adjustRightInd w:val="0"/>
        <w:spacing w:after="0" w:line="240" w:lineRule="auto"/>
        <w:ind w:firstLine="576"/>
        <w:jc w:val="both"/>
        <w:rPr>
          <w:rFonts w:ascii="Cambria" w:eastAsia="Times New Roman" w:hAnsi="Cambria"/>
          <w:lang w:val="id"/>
        </w:rPr>
      </w:pPr>
      <w:r w:rsidRPr="00E26457">
        <w:rPr>
          <w:rFonts w:ascii="Cambria" w:eastAsia="Times New Roman" w:hAnsi="Cambria"/>
        </w:rPr>
        <w:t xml:space="preserve">Tingkat signifikansi variabel </w:t>
      </w:r>
      <w:r w:rsidR="00EF1C89" w:rsidRPr="00E26457">
        <w:rPr>
          <w:rFonts w:ascii="Cambria" w:eastAsia="Times New Roman" w:hAnsi="Cambria"/>
          <w:i/>
        </w:rPr>
        <w:t>ROE</w:t>
      </w:r>
      <w:r w:rsidRPr="00E26457">
        <w:rPr>
          <w:rFonts w:ascii="Cambria" w:eastAsia="Times New Roman" w:hAnsi="Cambria"/>
        </w:rPr>
        <w:t xml:space="preserve"> pada Harga Saham ditemukan 0,045 (0,045 &lt; 0,05) sesuai dengan hasil pengujian. Pada tahun 2020-2023, harga saham perusahaan manufaktur sektor makanan dan minuman yang terdaftar di BEI dipengaruhi oleh </w:t>
      </w:r>
      <w:r w:rsidR="00EF1C89" w:rsidRPr="00E26457">
        <w:rPr>
          <w:rFonts w:ascii="Cambria" w:eastAsia="Times New Roman" w:hAnsi="Cambria"/>
          <w:i/>
        </w:rPr>
        <w:t>ROE</w:t>
      </w:r>
      <w:r w:rsidRPr="00E26457">
        <w:rPr>
          <w:rFonts w:ascii="Cambria" w:eastAsia="Times New Roman" w:hAnsi="Cambria"/>
        </w:rPr>
        <w:t xml:space="preserve">. Artinya, perusahaan dapat memaksimalkan jaminan yang dapat diberikan untuk investasi dengan memanfaatkan kas yang dimilikinya dengan lebih baik. </w:t>
      </w:r>
      <w:r w:rsidR="008744A4" w:rsidRPr="00E26457">
        <w:rPr>
          <w:rFonts w:ascii="Cambria" w:eastAsia="Times New Roman" w:hAnsi="Cambria"/>
        </w:rPr>
        <w:t>Jika perusahaan memiliki return on equity (</w:t>
      </w:r>
      <w:r w:rsidR="00EF1C89" w:rsidRPr="00E26457">
        <w:rPr>
          <w:rFonts w:ascii="Cambria" w:eastAsia="Times New Roman" w:hAnsi="Cambria"/>
          <w:i/>
        </w:rPr>
        <w:t>ROE</w:t>
      </w:r>
      <w:r w:rsidR="008744A4" w:rsidRPr="00E26457">
        <w:rPr>
          <w:rFonts w:ascii="Cambria" w:eastAsia="Times New Roman" w:hAnsi="Cambria"/>
        </w:rPr>
        <w:t>) yang tinggi, hal ini menandakan bahwa perusahaan tersebut sangat baik dalam mengubah ekuitasnya menjadi laba, yang berarti pemegang saham akan menerima lebih banyak dari investasi mereka. Hal ini sejalan dengan kesimpulan yang dibuat oleh Ealsa Fifit Mualimah Qustriana dan Susanti Dwi Ilhami (2024), yang menemukan bahwa return on equity (</w:t>
      </w:r>
      <w:r w:rsidR="00EF1C89" w:rsidRPr="00E26457">
        <w:rPr>
          <w:rFonts w:ascii="Cambria" w:eastAsia="Times New Roman" w:hAnsi="Cambria"/>
          <w:i/>
        </w:rPr>
        <w:t>ROE</w:t>
      </w:r>
      <w:r w:rsidR="008744A4" w:rsidRPr="00E26457">
        <w:rPr>
          <w:rFonts w:ascii="Cambria" w:eastAsia="Times New Roman" w:hAnsi="Cambria"/>
        </w:rPr>
        <w:t>) secara signifikan mempengaruhi harga saham menjadi lebih baik</w:t>
      </w:r>
      <w:r w:rsidR="00543FB3" w:rsidRPr="00E26457">
        <w:rPr>
          <w:rFonts w:ascii="Cambria" w:eastAsia="Times New Roman" w:hAnsi="Cambria"/>
          <w:lang w:val="id"/>
        </w:rPr>
        <w:t>.</w:t>
      </w:r>
    </w:p>
    <w:p w14:paraId="30F6C508" w14:textId="77777777" w:rsidR="00611D6B" w:rsidRPr="00E26457" w:rsidRDefault="00611D6B" w:rsidP="00F42CB5">
      <w:pPr>
        <w:adjustRightInd w:val="0"/>
        <w:spacing w:after="0" w:line="240" w:lineRule="auto"/>
        <w:ind w:firstLine="576"/>
        <w:jc w:val="both"/>
        <w:rPr>
          <w:rFonts w:ascii="Cambria" w:eastAsia="Times New Roman" w:hAnsi="Cambria"/>
          <w:lang w:val="id"/>
        </w:rPr>
      </w:pPr>
    </w:p>
    <w:p w14:paraId="4ED13B85" w14:textId="77777777" w:rsidR="00611D6B" w:rsidRPr="00E26457" w:rsidRDefault="00611D6B" w:rsidP="00F42CB5">
      <w:pPr>
        <w:adjustRightInd w:val="0"/>
        <w:spacing w:after="0" w:line="240" w:lineRule="auto"/>
        <w:jc w:val="both"/>
        <w:rPr>
          <w:rFonts w:ascii="Cambria" w:eastAsia="Times New Roman" w:hAnsi="Cambria"/>
          <w:b/>
          <w:bCs/>
        </w:rPr>
      </w:pPr>
      <w:r w:rsidRPr="00E26457">
        <w:rPr>
          <w:rFonts w:ascii="Cambria" w:eastAsia="Times New Roman" w:hAnsi="Cambria"/>
          <w:b/>
          <w:bCs/>
          <w:iCs/>
        </w:rPr>
        <w:lastRenderedPageBreak/>
        <w:t>Pengaruh</w:t>
      </w:r>
      <w:r w:rsidRPr="00E26457">
        <w:rPr>
          <w:rFonts w:ascii="Cambria" w:eastAsia="Times New Roman" w:hAnsi="Cambria"/>
          <w:b/>
          <w:bCs/>
          <w:i/>
        </w:rPr>
        <w:t xml:space="preserve"> Net Profit Margin </w:t>
      </w:r>
      <w:r w:rsidRPr="00E26457">
        <w:rPr>
          <w:rFonts w:ascii="Cambria" w:eastAsia="Times New Roman" w:hAnsi="Cambria"/>
          <w:b/>
          <w:bCs/>
        </w:rPr>
        <w:t xml:space="preserve">terhadap Harga Saham </w:t>
      </w:r>
    </w:p>
    <w:p w14:paraId="67224C4D" w14:textId="50FCD273" w:rsidR="00543FB3" w:rsidRPr="00E26457" w:rsidRDefault="00DB4D42" w:rsidP="00F42CB5">
      <w:pPr>
        <w:adjustRightInd w:val="0"/>
        <w:spacing w:after="0" w:line="240" w:lineRule="auto"/>
        <w:ind w:firstLine="576"/>
        <w:jc w:val="both"/>
        <w:rPr>
          <w:rFonts w:ascii="Cambria" w:eastAsia="Times New Roman" w:hAnsi="Cambria"/>
          <w:lang w:val="id"/>
        </w:rPr>
      </w:pPr>
      <w:r w:rsidRPr="00E26457">
        <w:rPr>
          <w:rFonts w:ascii="Cambria" w:eastAsia="Times New Roman" w:hAnsi="Cambria"/>
        </w:rPr>
        <w:t xml:space="preserve">Nilai signifikan 0.175 (0.175&gt;0.05) dihasilkan oleh variabel </w:t>
      </w:r>
      <w:r w:rsidR="00EF1C89" w:rsidRPr="00E26457">
        <w:rPr>
          <w:rFonts w:ascii="Cambria" w:eastAsia="Times New Roman" w:hAnsi="Cambria"/>
          <w:i/>
        </w:rPr>
        <w:t>NPM</w:t>
      </w:r>
      <w:r w:rsidRPr="00E26457">
        <w:rPr>
          <w:rFonts w:ascii="Cambria" w:eastAsia="Times New Roman" w:hAnsi="Cambria"/>
        </w:rPr>
        <w:t xml:space="preserve"> pada Harga Saham, sesuai dengan temuan pengujian. Dampak </w:t>
      </w:r>
      <w:r w:rsidR="00EF1C89" w:rsidRPr="00E26457">
        <w:rPr>
          <w:rFonts w:ascii="Cambria" w:eastAsia="Times New Roman" w:hAnsi="Cambria"/>
          <w:i/>
        </w:rPr>
        <w:t>NPM</w:t>
      </w:r>
      <w:r w:rsidRPr="00E26457">
        <w:rPr>
          <w:rFonts w:ascii="Cambria" w:eastAsia="Times New Roman" w:hAnsi="Cambria"/>
        </w:rPr>
        <w:t xml:space="preserve"> terhadap harga saham adalah nol. Hal ini dapat disebabkan oleh dasar-dasar </w:t>
      </w:r>
      <w:r w:rsidR="00EF1C89" w:rsidRPr="00E26457">
        <w:rPr>
          <w:rFonts w:ascii="Cambria" w:eastAsia="Times New Roman" w:hAnsi="Cambria"/>
          <w:i/>
        </w:rPr>
        <w:t>NPM</w:t>
      </w:r>
      <w:r w:rsidRPr="00E26457">
        <w:rPr>
          <w:rFonts w:ascii="Cambria" w:eastAsia="Times New Roman" w:hAnsi="Cambria"/>
        </w:rPr>
        <w:t xml:space="preserve"> yang menyatakan bahwa investor harus memprioritaskan penjualan bersih atau tingkat perputaran perusahaan ketika memilih investasi. Persentase </w:t>
      </w:r>
      <w:r w:rsidR="00EF1C89" w:rsidRPr="00E26457">
        <w:rPr>
          <w:rFonts w:ascii="Cambria" w:eastAsia="Times New Roman" w:hAnsi="Cambria"/>
          <w:i/>
        </w:rPr>
        <w:t>NPM</w:t>
      </w:r>
      <w:r w:rsidRPr="00E26457">
        <w:rPr>
          <w:rFonts w:ascii="Cambria" w:eastAsia="Times New Roman" w:hAnsi="Cambria"/>
        </w:rPr>
        <w:t xml:space="preserve"> bisa saja turun jika kenaikan penjualan tidak menghasilkan lebih banyak laba bersih. Pengeluaran dan biaya, yang benar-benar meningkat, berdampak pada laba bersih. Temuan Nenenng Faridatul Husna dan Nanan Sunandar (2021) bahwa </w:t>
      </w:r>
      <w:r w:rsidR="00EF1C89" w:rsidRPr="00E26457">
        <w:rPr>
          <w:rFonts w:ascii="Cambria" w:eastAsia="Times New Roman" w:hAnsi="Cambria"/>
          <w:i/>
        </w:rPr>
        <w:t>NPM</w:t>
      </w:r>
      <w:r w:rsidRPr="00E26457">
        <w:rPr>
          <w:rFonts w:ascii="Cambria" w:eastAsia="Times New Roman" w:hAnsi="Cambria"/>
        </w:rPr>
        <w:t xml:space="preserve"> tidak memengaruhi harga saham konsisten dengan hal ini</w:t>
      </w:r>
      <w:r w:rsidR="00543FB3" w:rsidRPr="00E26457">
        <w:rPr>
          <w:rFonts w:ascii="Cambria" w:eastAsia="Times New Roman" w:hAnsi="Cambria"/>
          <w:lang w:val="id"/>
        </w:rPr>
        <w:t>.</w:t>
      </w:r>
    </w:p>
    <w:p w14:paraId="4444B91B" w14:textId="77777777" w:rsidR="00B55568" w:rsidRPr="00E26457" w:rsidRDefault="00B55568" w:rsidP="00F42CB5">
      <w:pPr>
        <w:pStyle w:val="ListParagraph"/>
        <w:numPr>
          <w:ilvl w:val="0"/>
          <w:numId w:val="4"/>
        </w:numPr>
        <w:spacing w:before="240" w:line="240" w:lineRule="auto"/>
        <w:rPr>
          <w:rFonts w:ascii="Cambria" w:hAnsi="Cambria"/>
          <w:noProof/>
          <w:vanish/>
        </w:rPr>
      </w:pPr>
    </w:p>
    <w:p w14:paraId="1B7E24D7" w14:textId="77777777" w:rsidR="00B55568" w:rsidRPr="00E26457" w:rsidRDefault="00B55568" w:rsidP="00F42CB5">
      <w:pPr>
        <w:pStyle w:val="ListParagraph"/>
        <w:numPr>
          <w:ilvl w:val="0"/>
          <w:numId w:val="4"/>
        </w:numPr>
        <w:spacing w:before="240" w:line="240" w:lineRule="auto"/>
        <w:rPr>
          <w:rFonts w:ascii="Cambria" w:hAnsi="Cambria"/>
          <w:noProof/>
          <w:vanish/>
        </w:rPr>
      </w:pPr>
    </w:p>
    <w:p w14:paraId="51581263" w14:textId="77777777" w:rsidR="00B55568" w:rsidRPr="00E26457" w:rsidRDefault="00B55568" w:rsidP="00F42CB5">
      <w:pPr>
        <w:pStyle w:val="ListParagraph"/>
        <w:numPr>
          <w:ilvl w:val="0"/>
          <w:numId w:val="4"/>
        </w:numPr>
        <w:spacing w:before="240" w:line="240" w:lineRule="auto"/>
        <w:rPr>
          <w:rFonts w:ascii="Cambria" w:hAnsi="Cambria"/>
          <w:noProof/>
          <w:vanish/>
        </w:rPr>
      </w:pPr>
    </w:p>
    <w:p w14:paraId="0C41BFD9" w14:textId="27C6ED44" w:rsidR="00162519" w:rsidRPr="00E26457" w:rsidRDefault="00162519" w:rsidP="00F42CB5">
      <w:pPr>
        <w:spacing w:after="0" w:line="240" w:lineRule="auto"/>
        <w:rPr>
          <w:rFonts w:ascii="Cambria" w:hAnsi="Cambria"/>
          <w:noProof/>
          <w:lang w:val="id-ID"/>
        </w:rPr>
      </w:pPr>
    </w:p>
    <w:tbl>
      <w:tblPr>
        <w:tblW w:w="0" w:type="auto"/>
        <w:shd w:val="clear" w:color="auto" w:fill="D9D9D9"/>
        <w:tblLook w:val="04A0" w:firstRow="1" w:lastRow="0" w:firstColumn="1" w:lastColumn="0" w:noHBand="0" w:noVBand="1"/>
      </w:tblPr>
      <w:tblGrid>
        <w:gridCol w:w="8257"/>
        <w:gridCol w:w="248"/>
      </w:tblGrid>
      <w:tr w:rsidR="001053FB" w:rsidRPr="00E26457" w14:paraId="742B923B" w14:textId="77777777" w:rsidTr="00AE7D0D">
        <w:trPr>
          <w:trHeight w:val="287"/>
        </w:trPr>
        <w:tc>
          <w:tcPr>
            <w:tcW w:w="8257" w:type="dxa"/>
            <w:shd w:val="clear" w:color="auto" w:fill="D9E2F3" w:themeFill="accent1" w:themeFillTint="33"/>
            <w:vAlign w:val="center"/>
          </w:tcPr>
          <w:p w14:paraId="1EEA8864" w14:textId="77777777" w:rsidR="00203DAD" w:rsidRPr="00E26457" w:rsidRDefault="00203DAD" w:rsidP="00F42CB5">
            <w:pPr>
              <w:numPr>
                <w:ilvl w:val="0"/>
                <w:numId w:val="6"/>
              </w:numPr>
              <w:spacing w:after="0" w:line="240" w:lineRule="auto"/>
              <w:ind w:left="463" w:hanging="567"/>
              <w:rPr>
                <w:rFonts w:ascii="Cambria" w:hAnsi="Cambria"/>
                <w:b/>
              </w:rPr>
            </w:pPr>
            <w:r w:rsidRPr="00E26457">
              <w:rPr>
                <w:rFonts w:ascii="Cambria" w:hAnsi="Cambria"/>
                <w:b/>
                <w:noProof/>
              </w:rPr>
              <w:t>Simpulan</w:t>
            </w:r>
          </w:p>
        </w:tc>
        <w:tc>
          <w:tcPr>
            <w:tcW w:w="248" w:type="dxa"/>
            <w:shd w:val="clear" w:color="auto" w:fill="4472C4" w:themeFill="accent1"/>
          </w:tcPr>
          <w:p w14:paraId="267F13E9" w14:textId="77777777" w:rsidR="00203DAD" w:rsidRPr="00E26457" w:rsidRDefault="00203DAD" w:rsidP="00F42CB5">
            <w:pPr>
              <w:spacing w:after="0" w:line="240" w:lineRule="auto"/>
              <w:rPr>
                <w:rFonts w:ascii="Cambria" w:hAnsi="Cambria"/>
                <w:b/>
                <w:noProof/>
              </w:rPr>
            </w:pPr>
          </w:p>
        </w:tc>
      </w:tr>
    </w:tbl>
    <w:p w14:paraId="7F174F1D" w14:textId="77777777" w:rsidR="006005CE" w:rsidRPr="00E26457" w:rsidRDefault="006005CE" w:rsidP="00F42CB5">
      <w:pPr>
        <w:spacing w:after="0" w:line="240" w:lineRule="auto"/>
        <w:ind w:firstLine="576"/>
        <w:jc w:val="both"/>
        <w:rPr>
          <w:rFonts w:ascii="Cambria" w:hAnsi="Cambria"/>
        </w:rPr>
      </w:pPr>
    </w:p>
    <w:p w14:paraId="0B0CAD02" w14:textId="44925091" w:rsidR="00DB4D42" w:rsidRPr="00E26457" w:rsidRDefault="00DB4D42" w:rsidP="00DB4D42">
      <w:pPr>
        <w:spacing w:after="0" w:line="240" w:lineRule="auto"/>
        <w:ind w:firstLine="576"/>
        <w:jc w:val="both"/>
        <w:rPr>
          <w:rFonts w:ascii="Cambria" w:hAnsi="Cambria"/>
        </w:rPr>
      </w:pPr>
      <w:r w:rsidRPr="00E26457">
        <w:rPr>
          <w:rFonts w:ascii="Cambria" w:hAnsi="Cambria"/>
        </w:rPr>
        <w:t>Pengujian hipotesis</w:t>
      </w:r>
      <w:r w:rsidR="00206A9B" w:rsidRPr="00E26457">
        <w:rPr>
          <w:rFonts w:ascii="Cambria" w:hAnsi="Cambria"/>
        </w:rPr>
        <w:t xml:space="preserve"> </w:t>
      </w:r>
      <w:r w:rsidRPr="00E26457">
        <w:rPr>
          <w:rFonts w:ascii="Cambria" w:hAnsi="Cambria"/>
        </w:rPr>
        <w:t xml:space="preserve">menghasilkan tidak ada </w:t>
      </w:r>
      <w:r w:rsidR="0058798B" w:rsidRPr="00E26457">
        <w:rPr>
          <w:rFonts w:ascii="Cambria" w:hAnsi="Cambria"/>
        </w:rPr>
        <w:t>pengaruh</w:t>
      </w:r>
      <w:r w:rsidRPr="00E26457">
        <w:rPr>
          <w:rFonts w:ascii="Cambria" w:hAnsi="Cambria"/>
        </w:rPr>
        <w:t xml:space="preserve"> antara </w:t>
      </w:r>
      <w:r w:rsidR="00EF1C89" w:rsidRPr="00E26457">
        <w:rPr>
          <w:rFonts w:ascii="Cambria" w:hAnsi="Cambria"/>
          <w:i/>
        </w:rPr>
        <w:t>ROA</w:t>
      </w:r>
      <w:r w:rsidRPr="00E26457">
        <w:rPr>
          <w:rFonts w:ascii="Cambria" w:hAnsi="Cambria"/>
        </w:rPr>
        <w:t xml:space="preserve">, </w:t>
      </w:r>
      <w:r w:rsidR="00EF1C89" w:rsidRPr="00E26457">
        <w:rPr>
          <w:rFonts w:ascii="Cambria" w:hAnsi="Cambria"/>
          <w:i/>
        </w:rPr>
        <w:t>EPS</w:t>
      </w:r>
      <w:r w:rsidRPr="00E26457">
        <w:rPr>
          <w:rFonts w:ascii="Cambria" w:hAnsi="Cambria"/>
        </w:rPr>
        <w:t xml:space="preserve">, dan </w:t>
      </w:r>
      <w:r w:rsidRPr="00E26457">
        <w:rPr>
          <w:rFonts w:ascii="Cambria" w:hAnsi="Cambria"/>
          <w:i/>
          <w:iCs/>
        </w:rPr>
        <w:t>NP</w:t>
      </w:r>
      <w:r w:rsidR="00EF1C89" w:rsidRPr="00E26457">
        <w:rPr>
          <w:rFonts w:ascii="Cambria" w:hAnsi="Cambria"/>
          <w:i/>
          <w:iCs/>
        </w:rPr>
        <w:t>M</w:t>
      </w:r>
      <w:r w:rsidRPr="00E26457">
        <w:rPr>
          <w:rFonts w:ascii="Cambria" w:hAnsi="Cambria"/>
        </w:rPr>
        <w:t xml:space="preserve"> dengan harga saham. Selain itu, antara tahun 2020 dan 2023, </w:t>
      </w:r>
      <w:r w:rsidR="00EF1C89" w:rsidRPr="00E26457">
        <w:rPr>
          <w:rFonts w:ascii="Cambria" w:hAnsi="Cambria"/>
          <w:i/>
        </w:rPr>
        <w:t>ROE</w:t>
      </w:r>
      <w:r w:rsidRPr="00E26457">
        <w:rPr>
          <w:rFonts w:ascii="Cambria" w:hAnsi="Cambria"/>
        </w:rPr>
        <w:t xml:space="preserve"> memiliki dampak terhadap harga saham yang tercatat di BEI.</w:t>
      </w:r>
    </w:p>
    <w:p w14:paraId="796D44DA" w14:textId="488AB504" w:rsidR="00543FB3" w:rsidRPr="00E26457" w:rsidRDefault="00DB4D42" w:rsidP="00DB4D42">
      <w:pPr>
        <w:spacing w:after="0" w:line="240" w:lineRule="auto"/>
        <w:ind w:firstLine="576"/>
        <w:jc w:val="both"/>
        <w:rPr>
          <w:rFonts w:ascii="Cambria" w:hAnsi="Cambria"/>
        </w:rPr>
      </w:pPr>
      <w:bookmarkStart w:id="7" w:name="_GoBack"/>
      <w:bookmarkEnd w:id="7"/>
      <w:r w:rsidRPr="00E26457">
        <w:rPr>
          <w:rFonts w:ascii="Cambria" w:hAnsi="Cambria"/>
        </w:rPr>
        <w:t>Untuk meningkatkan hasil penelitian di masa mendatang, disarankan agar peneliti menggunakan jumlah sampel yang lebih besar dan tidak terbatas pada perusahaan-perusahaan di sektor makanan dan minuman. Selain itu, sebaiknya memperpanjang periode pengamatan dan memasukkan beberapa variabel independen baru, serta variabel non independen</w:t>
      </w:r>
      <w:r w:rsidR="00543FB3" w:rsidRPr="00E26457">
        <w:rPr>
          <w:rFonts w:ascii="Cambria" w:hAnsi="Cambria"/>
        </w:rPr>
        <w:t>.</w:t>
      </w:r>
    </w:p>
    <w:p w14:paraId="0C4F24DC" w14:textId="77777777" w:rsidR="00DB4D42" w:rsidRPr="00E26457" w:rsidRDefault="00DB4D42" w:rsidP="00DB4D42">
      <w:pPr>
        <w:spacing w:after="0" w:line="240" w:lineRule="auto"/>
        <w:ind w:firstLine="576"/>
        <w:jc w:val="both"/>
        <w:rPr>
          <w:rFonts w:ascii="Cambria" w:hAnsi="Cambria"/>
        </w:rPr>
      </w:pPr>
    </w:p>
    <w:p w14:paraId="7A68A13B" w14:textId="77777777" w:rsidR="00543FB3" w:rsidRPr="00E26457" w:rsidRDefault="00543FB3" w:rsidP="00F42CB5">
      <w:pPr>
        <w:spacing w:after="0" w:line="240" w:lineRule="auto"/>
        <w:ind w:firstLine="720"/>
        <w:jc w:val="both"/>
        <w:rPr>
          <w:rFonts w:ascii="Cambria" w:hAnsi="Cambria"/>
        </w:rPr>
      </w:pPr>
    </w:p>
    <w:tbl>
      <w:tblPr>
        <w:tblW w:w="0" w:type="auto"/>
        <w:shd w:val="clear" w:color="auto" w:fill="D9D9D9"/>
        <w:tblLook w:val="04A0" w:firstRow="1" w:lastRow="0" w:firstColumn="1" w:lastColumn="0" w:noHBand="0" w:noVBand="1"/>
      </w:tblPr>
      <w:tblGrid>
        <w:gridCol w:w="8257"/>
        <w:gridCol w:w="248"/>
      </w:tblGrid>
      <w:tr w:rsidR="001053FB" w:rsidRPr="00E26457" w14:paraId="034E3103" w14:textId="77777777" w:rsidTr="00AE7D0D">
        <w:trPr>
          <w:trHeight w:val="287"/>
        </w:trPr>
        <w:tc>
          <w:tcPr>
            <w:tcW w:w="8257" w:type="dxa"/>
            <w:shd w:val="clear" w:color="auto" w:fill="D9E2F3" w:themeFill="accent1" w:themeFillTint="33"/>
            <w:vAlign w:val="center"/>
          </w:tcPr>
          <w:p w14:paraId="6E342265" w14:textId="55726147" w:rsidR="00203DAD" w:rsidRPr="00E26457" w:rsidRDefault="00DB4D42" w:rsidP="00DB4D42">
            <w:pPr>
              <w:pStyle w:val="Abstrakisi"/>
              <w:rPr>
                <w:rFonts w:cs="Times New Roman"/>
                <w:b/>
                <w:bCs/>
                <w:sz w:val="22"/>
                <w:szCs w:val="22"/>
              </w:rPr>
            </w:pPr>
            <w:r w:rsidRPr="00E26457">
              <w:rPr>
                <w:rFonts w:cs="Times New Roman"/>
                <w:b/>
                <w:bCs/>
                <w:sz w:val="22"/>
                <w:szCs w:val="22"/>
              </w:rPr>
              <w:t>Daftar Pustaka</w:t>
            </w:r>
          </w:p>
        </w:tc>
        <w:tc>
          <w:tcPr>
            <w:tcW w:w="248" w:type="dxa"/>
            <w:shd w:val="clear" w:color="auto" w:fill="4472C4" w:themeFill="accent1"/>
          </w:tcPr>
          <w:p w14:paraId="61187BB1" w14:textId="77777777" w:rsidR="00203DAD" w:rsidRPr="00E26457" w:rsidRDefault="00203DAD" w:rsidP="00F42CB5">
            <w:pPr>
              <w:spacing w:after="0" w:line="240" w:lineRule="auto"/>
              <w:rPr>
                <w:rFonts w:ascii="Cambria" w:hAnsi="Cambria"/>
                <w:b/>
                <w:noProof/>
              </w:rPr>
            </w:pPr>
          </w:p>
        </w:tc>
      </w:tr>
    </w:tbl>
    <w:p w14:paraId="7CDBE305" w14:textId="77777777" w:rsidR="006005CE" w:rsidRPr="00E26457" w:rsidRDefault="006005CE" w:rsidP="00F42CB5">
      <w:pPr>
        <w:spacing w:after="0" w:line="240" w:lineRule="auto"/>
        <w:ind w:left="720" w:hanging="720"/>
        <w:jc w:val="both"/>
        <w:rPr>
          <w:rFonts w:ascii="Cambria" w:eastAsia="Times New Roman" w:hAnsi="Cambria"/>
          <w:lang w:val="id"/>
        </w:rPr>
      </w:pPr>
    </w:p>
    <w:p w14:paraId="3FD8BFC9" w14:textId="568D1142" w:rsidR="00543FB3" w:rsidRPr="00E26457" w:rsidRDefault="00543FB3" w:rsidP="00F42CB5">
      <w:pPr>
        <w:spacing w:after="0" w:line="240" w:lineRule="auto"/>
        <w:ind w:left="720" w:hanging="720"/>
        <w:jc w:val="both"/>
        <w:rPr>
          <w:rFonts w:ascii="Cambria" w:eastAsia="Times New Roman" w:hAnsi="Cambria"/>
          <w:b/>
          <w:bCs/>
          <w:color w:val="4472C4" w:themeColor="accent1"/>
          <w:lang w:val="id"/>
        </w:rPr>
      </w:pPr>
      <w:r w:rsidRPr="00E26457">
        <w:rPr>
          <w:rFonts w:ascii="Cambria" w:eastAsia="Times New Roman" w:hAnsi="Cambria"/>
          <w:lang w:val="id"/>
        </w:rPr>
        <w:t xml:space="preserve">Aldini, D. A., &amp; Andarini, S. (2018). Pengaruh </w:t>
      </w:r>
      <w:r w:rsidRPr="00E26457">
        <w:rPr>
          <w:rFonts w:ascii="Cambria" w:eastAsia="Times New Roman" w:hAnsi="Cambria"/>
          <w:i/>
          <w:iCs/>
          <w:lang w:val="id"/>
        </w:rPr>
        <w:t xml:space="preserve">profitabilitas </w:t>
      </w:r>
      <w:r w:rsidRPr="00E26457">
        <w:rPr>
          <w:rFonts w:ascii="Cambria" w:eastAsia="Times New Roman" w:hAnsi="Cambria"/>
          <w:lang w:val="id"/>
        </w:rPr>
        <w:t xml:space="preserve">terhadap harga saham pada perusahaan makanan dan minuman yang terdaftar di Bursa Efek Indonesia. Jurnal Bisnis Indonesia, 8(1). Diakses dari </w:t>
      </w:r>
      <w:r w:rsidRPr="00E26457">
        <w:rPr>
          <w:rFonts w:ascii="Cambria" w:eastAsia="Times New Roman" w:hAnsi="Cambria"/>
          <w:color w:val="4472C4" w:themeColor="accent1"/>
          <w:u w:val="single"/>
          <w:lang w:val="id"/>
        </w:rPr>
        <w:t>https://scholar.google.com</w:t>
      </w:r>
    </w:p>
    <w:p w14:paraId="794254F6" w14:textId="77777777" w:rsidR="00543FB3" w:rsidRPr="00E26457" w:rsidRDefault="00543FB3" w:rsidP="00F42CB5">
      <w:pPr>
        <w:spacing w:after="0" w:line="240" w:lineRule="auto"/>
        <w:ind w:left="720" w:hanging="720"/>
        <w:jc w:val="both"/>
        <w:rPr>
          <w:rFonts w:ascii="Cambria" w:eastAsia="Times New Roman" w:hAnsi="Cambria"/>
          <w:b/>
          <w:bCs/>
          <w:lang w:val="id"/>
        </w:rPr>
      </w:pPr>
      <w:r w:rsidRPr="00E26457">
        <w:rPr>
          <w:rFonts w:ascii="Cambria" w:eastAsia="Times New Roman" w:hAnsi="Cambria"/>
          <w:lang w:val="id"/>
        </w:rPr>
        <w:t xml:space="preserve">Farild, M., Sawaji, M. I., &amp; Poddala, P. (2023, October). Analisis teknikal sebagai dasar pengambilan keputusan dalam transaksi saham. In FORUM EKONOMI: Jurnal Ekonomi, Manajemen dan Akuntansi (Vol. 25, No. 4, pp. 734-739). Diakses dari </w:t>
      </w:r>
      <w:r w:rsidRPr="00E26457">
        <w:rPr>
          <w:rFonts w:ascii="Cambria" w:eastAsia="Times New Roman" w:hAnsi="Cambria"/>
          <w:color w:val="4472C4" w:themeColor="accent1"/>
          <w:u w:val="single"/>
          <w:lang w:val="id"/>
        </w:rPr>
        <w:t>https://scholar.google.com</w:t>
      </w:r>
    </w:p>
    <w:p w14:paraId="3C960AD1" w14:textId="5AB1DFED" w:rsidR="00543FB3" w:rsidRPr="00E26457" w:rsidRDefault="00543FB3" w:rsidP="00F42CB5">
      <w:pPr>
        <w:spacing w:after="0" w:line="240" w:lineRule="auto"/>
        <w:ind w:left="720" w:hanging="720"/>
        <w:jc w:val="both"/>
        <w:rPr>
          <w:rFonts w:ascii="Cambria" w:eastAsia="Times New Roman" w:hAnsi="Cambria"/>
          <w:b/>
          <w:bCs/>
          <w:lang w:val="id"/>
        </w:rPr>
      </w:pPr>
      <w:r w:rsidRPr="00E26457">
        <w:rPr>
          <w:rFonts w:ascii="Cambria" w:eastAsia="Times New Roman" w:hAnsi="Cambria"/>
          <w:lang w:val="id"/>
        </w:rPr>
        <w:t xml:space="preserve">Hutami, A. I. (2020). Pengaruh </w:t>
      </w:r>
      <w:r w:rsidRPr="00E26457">
        <w:rPr>
          <w:rFonts w:ascii="Cambria" w:eastAsia="Times New Roman" w:hAnsi="Cambria"/>
          <w:i/>
          <w:iCs/>
          <w:lang w:val="id"/>
        </w:rPr>
        <w:t xml:space="preserve">TATO, </w:t>
      </w:r>
      <w:r w:rsidR="00EF1C89" w:rsidRPr="00E26457">
        <w:rPr>
          <w:rFonts w:ascii="Cambria" w:eastAsia="Times New Roman" w:hAnsi="Cambria"/>
          <w:i/>
          <w:iCs/>
          <w:lang w:val="id"/>
        </w:rPr>
        <w:t>NPM</w:t>
      </w:r>
      <w:r w:rsidRPr="00E26457">
        <w:rPr>
          <w:rFonts w:ascii="Cambria" w:eastAsia="Times New Roman" w:hAnsi="Cambria"/>
          <w:i/>
          <w:iCs/>
          <w:lang w:val="id"/>
        </w:rPr>
        <w:t xml:space="preserve">, </w:t>
      </w:r>
      <w:r w:rsidRPr="00E26457">
        <w:rPr>
          <w:rFonts w:ascii="Cambria" w:eastAsia="Times New Roman" w:hAnsi="Cambria"/>
          <w:lang w:val="id"/>
        </w:rPr>
        <w:t>dan</w:t>
      </w:r>
      <w:r w:rsidRPr="00E26457">
        <w:rPr>
          <w:rFonts w:ascii="Cambria" w:eastAsia="Times New Roman" w:hAnsi="Cambria"/>
          <w:i/>
          <w:iCs/>
          <w:lang w:val="id"/>
        </w:rPr>
        <w:t xml:space="preserve"> </w:t>
      </w:r>
      <w:r w:rsidR="00EF1C89" w:rsidRPr="00E26457">
        <w:rPr>
          <w:rFonts w:ascii="Cambria" w:eastAsia="Times New Roman" w:hAnsi="Cambria"/>
          <w:i/>
          <w:iCs/>
          <w:lang w:val="id"/>
        </w:rPr>
        <w:t>EPS</w:t>
      </w:r>
      <w:r w:rsidRPr="00E26457">
        <w:rPr>
          <w:rFonts w:ascii="Cambria" w:eastAsia="Times New Roman" w:hAnsi="Cambria"/>
          <w:lang w:val="id"/>
        </w:rPr>
        <w:t xml:space="preserve"> terhadap Harga Saham pada Perusahaan Sub Sektor Makanan dan Minuman di BEI (Doctoral dissertation, Universitas Muhammadiyah Surakarta). Diakses dari Laporan Keuangan dan Tahun (2024). Diakses dari </w:t>
      </w:r>
      <w:r w:rsidRPr="00E26457">
        <w:rPr>
          <w:rFonts w:ascii="Cambria" w:eastAsia="Times New Roman" w:hAnsi="Cambria"/>
          <w:color w:val="4472C4" w:themeColor="accent1"/>
          <w:lang w:val="id"/>
        </w:rPr>
        <w:t>https/www.idx.co.id/id/perusahaan tercatat/laporan-keuangan-dan-tahunan.</w:t>
      </w:r>
    </w:p>
    <w:p w14:paraId="6329D3FC" w14:textId="77777777" w:rsidR="00543FB3" w:rsidRPr="00E26457" w:rsidRDefault="00543FB3" w:rsidP="00F42CB5">
      <w:pPr>
        <w:spacing w:after="0" w:line="240" w:lineRule="auto"/>
        <w:ind w:left="720" w:hanging="720"/>
        <w:jc w:val="both"/>
        <w:rPr>
          <w:rFonts w:ascii="Cambria" w:eastAsia="Times New Roman" w:hAnsi="Cambria"/>
          <w:b/>
          <w:bCs/>
          <w:color w:val="4472C4" w:themeColor="accent1"/>
          <w:u w:val="single"/>
          <w:lang w:val="id"/>
        </w:rPr>
      </w:pPr>
      <w:r w:rsidRPr="00E26457">
        <w:rPr>
          <w:rFonts w:ascii="Cambria" w:eastAsia="Times New Roman" w:hAnsi="Cambria"/>
          <w:lang w:val="id"/>
        </w:rPr>
        <w:t xml:space="preserve">Musdalifah Azis, Mintarti, S., &amp; Maryam Nadir, (2015). Manajemen Investasi Fundamental, Teknikal, Perilaku Investor dan Return Saham. Deepublish. Diakses dari </w:t>
      </w:r>
      <w:r w:rsidRPr="00E26457">
        <w:rPr>
          <w:rFonts w:ascii="Cambria" w:eastAsia="Times New Roman" w:hAnsi="Cambria"/>
          <w:color w:val="4472C4" w:themeColor="accent1"/>
          <w:u w:val="single"/>
          <w:lang w:val="id"/>
        </w:rPr>
        <w:t>https://scholar.google.com</w:t>
      </w:r>
    </w:p>
    <w:p w14:paraId="56B64A9B" w14:textId="27CE9F8F" w:rsidR="00543FB3" w:rsidRPr="00E26457" w:rsidRDefault="00543FB3" w:rsidP="00F42CB5">
      <w:pPr>
        <w:spacing w:after="0" w:line="240" w:lineRule="auto"/>
        <w:ind w:left="720" w:hanging="720"/>
        <w:jc w:val="both"/>
        <w:rPr>
          <w:rFonts w:ascii="Cambria" w:eastAsia="Times New Roman" w:hAnsi="Cambria"/>
          <w:b/>
          <w:bCs/>
          <w:color w:val="4472C4" w:themeColor="accent1"/>
          <w:u w:val="single"/>
          <w:lang w:val="id"/>
        </w:rPr>
      </w:pPr>
      <w:r w:rsidRPr="00E26457">
        <w:rPr>
          <w:rFonts w:ascii="Cambria" w:eastAsia="Times New Roman" w:hAnsi="Cambria"/>
          <w:lang w:val="id"/>
        </w:rPr>
        <w:t xml:space="preserve">Nafisah, N. I., Halim, A., &amp; Sari, A. R. (2018). Pengaruh </w:t>
      </w:r>
      <w:r w:rsidRPr="00E26457">
        <w:rPr>
          <w:rFonts w:ascii="Cambria" w:eastAsia="Times New Roman" w:hAnsi="Cambria"/>
          <w:i/>
          <w:iCs/>
          <w:lang w:val="id"/>
        </w:rPr>
        <w:t>Return On Assets (</w:t>
      </w:r>
      <w:r w:rsidR="00EF1C89" w:rsidRPr="00E26457">
        <w:rPr>
          <w:rFonts w:ascii="Cambria" w:eastAsia="Times New Roman" w:hAnsi="Cambria"/>
          <w:i/>
          <w:iCs/>
          <w:lang w:val="id"/>
        </w:rPr>
        <w:t>ROA</w:t>
      </w:r>
      <w:r w:rsidRPr="00E26457">
        <w:rPr>
          <w:rFonts w:ascii="Cambria" w:eastAsia="Times New Roman" w:hAnsi="Cambria"/>
          <w:i/>
          <w:iCs/>
          <w:lang w:val="id"/>
        </w:rPr>
        <w:t>), debt to equity ratio (DER), current ratio (CR), Return On Equity  (</w:t>
      </w:r>
      <w:r w:rsidR="00EF1C89" w:rsidRPr="00E26457">
        <w:rPr>
          <w:rFonts w:ascii="Cambria" w:eastAsia="Times New Roman" w:hAnsi="Cambria"/>
          <w:i/>
          <w:iCs/>
          <w:lang w:val="id"/>
        </w:rPr>
        <w:t>ROE</w:t>
      </w:r>
      <w:r w:rsidRPr="00E26457">
        <w:rPr>
          <w:rFonts w:ascii="Cambria" w:eastAsia="Times New Roman" w:hAnsi="Cambria"/>
          <w:i/>
          <w:iCs/>
          <w:lang w:val="id"/>
        </w:rPr>
        <w:t>), Price earning ratio (PER), total assets Turnover (TATO),</w:t>
      </w:r>
      <w:r w:rsidRPr="00E26457">
        <w:rPr>
          <w:rFonts w:ascii="Cambria" w:eastAsia="Times New Roman" w:hAnsi="Cambria"/>
          <w:lang w:val="id"/>
        </w:rPr>
        <w:t xml:space="preserve"> dan </w:t>
      </w:r>
      <w:r w:rsidRPr="00E26457">
        <w:rPr>
          <w:rFonts w:ascii="Cambria" w:eastAsia="Times New Roman" w:hAnsi="Cambria"/>
          <w:i/>
          <w:iCs/>
          <w:lang w:val="id"/>
        </w:rPr>
        <w:t>Earning Per Share (</w:t>
      </w:r>
      <w:r w:rsidR="00EF1C89" w:rsidRPr="00E26457">
        <w:rPr>
          <w:rFonts w:ascii="Cambria" w:eastAsia="Times New Roman" w:hAnsi="Cambria"/>
          <w:i/>
          <w:iCs/>
          <w:lang w:val="id"/>
        </w:rPr>
        <w:t>EPS</w:t>
      </w:r>
      <w:r w:rsidRPr="00E26457">
        <w:rPr>
          <w:rFonts w:ascii="Cambria" w:eastAsia="Times New Roman" w:hAnsi="Cambria"/>
          <w:i/>
          <w:iCs/>
          <w:lang w:val="id"/>
        </w:rPr>
        <w:t>)</w:t>
      </w:r>
      <w:r w:rsidRPr="00E26457">
        <w:rPr>
          <w:rFonts w:ascii="Cambria" w:eastAsia="Times New Roman" w:hAnsi="Cambria"/>
          <w:lang w:val="id"/>
        </w:rPr>
        <w:t xml:space="preserve"> terhadap nilai perusahaan manufaktur yang terdaftar Di BEI. Jurnal Riset Mahasiswa Akuntansi, 6(2). Diakses dari </w:t>
      </w:r>
      <w:r w:rsidRPr="00E26457">
        <w:rPr>
          <w:rFonts w:ascii="Cambria" w:eastAsia="Times New Roman" w:hAnsi="Cambria"/>
          <w:color w:val="4472C4" w:themeColor="accent1"/>
          <w:u w:val="single"/>
          <w:lang w:val="id"/>
        </w:rPr>
        <w:t>https://scholar.google.com</w:t>
      </w:r>
    </w:p>
    <w:p w14:paraId="2A58F0E7" w14:textId="77777777" w:rsidR="00543FB3" w:rsidRPr="00E26457" w:rsidRDefault="00543FB3" w:rsidP="00F42CB5">
      <w:pPr>
        <w:spacing w:after="0" w:line="240" w:lineRule="auto"/>
        <w:ind w:left="720" w:hanging="720"/>
        <w:jc w:val="both"/>
        <w:rPr>
          <w:rFonts w:ascii="Cambria" w:eastAsia="Times New Roman" w:hAnsi="Cambria"/>
          <w:b/>
          <w:bCs/>
          <w:color w:val="4472C4" w:themeColor="accent1"/>
          <w:u w:val="single"/>
          <w:lang w:val="id"/>
        </w:rPr>
      </w:pPr>
      <w:r w:rsidRPr="00E26457">
        <w:rPr>
          <w:rFonts w:ascii="Cambria" w:eastAsia="Times New Roman" w:hAnsi="Cambria"/>
          <w:lang w:val="id"/>
        </w:rPr>
        <w:t xml:space="preserve">Novalia, F., &amp; Nindito, M. (2016). Pengaruh Konservatisme Akuntansi Dan Economic Value Added Terhadap Penilaian Ekuitas Perusahaan. Jurnal Ilmiah Wahana Akuntansi, 11(2), 1-16. Diakses dari </w:t>
      </w:r>
      <w:r w:rsidRPr="00E26457">
        <w:rPr>
          <w:rFonts w:ascii="Cambria" w:eastAsia="Times New Roman" w:hAnsi="Cambria"/>
          <w:color w:val="4472C4" w:themeColor="accent1"/>
          <w:u w:val="single"/>
          <w:lang w:val="id"/>
        </w:rPr>
        <w:t>https://scholar.google.com</w:t>
      </w:r>
    </w:p>
    <w:p w14:paraId="311EAA88" w14:textId="77777777" w:rsidR="00543FB3" w:rsidRPr="00E26457" w:rsidRDefault="00543FB3" w:rsidP="00F42CB5">
      <w:pPr>
        <w:spacing w:after="0" w:line="240" w:lineRule="auto"/>
        <w:ind w:left="720" w:hanging="720"/>
        <w:jc w:val="both"/>
        <w:rPr>
          <w:rFonts w:ascii="Cambria" w:eastAsia="Times New Roman" w:hAnsi="Cambria"/>
          <w:b/>
          <w:bCs/>
          <w:color w:val="4472C4" w:themeColor="accent1"/>
          <w:u w:val="single"/>
          <w:lang w:val="id"/>
        </w:rPr>
      </w:pPr>
      <w:r w:rsidRPr="00E26457">
        <w:rPr>
          <w:rFonts w:ascii="Cambria" w:eastAsia="Times New Roman" w:hAnsi="Cambria"/>
          <w:lang w:val="id"/>
        </w:rPr>
        <w:t xml:space="preserve">Qustriana, E. F. M., &amp; Ilhami, S. D. (2024). Pengaruh </w:t>
      </w:r>
      <w:r w:rsidRPr="00E26457">
        <w:rPr>
          <w:rFonts w:ascii="Cambria" w:eastAsia="Times New Roman" w:hAnsi="Cambria"/>
          <w:i/>
          <w:iCs/>
          <w:lang w:val="id"/>
        </w:rPr>
        <w:t xml:space="preserve">Earning Per Share, Current Ratio, Retrun On Equity Ratio, </w:t>
      </w:r>
      <w:r w:rsidRPr="00E26457">
        <w:rPr>
          <w:rFonts w:ascii="Cambria" w:eastAsia="Times New Roman" w:hAnsi="Cambria"/>
          <w:lang w:val="id"/>
        </w:rPr>
        <w:t xml:space="preserve">dan </w:t>
      </w:r>
      <w:r w:rsidRPr="00E26457">
        <w:rPr>
          <w:rFonts w:ascii="Cambria" w:eastAsia="Times New Roman" w:hAnsi="Cambria"/>
          <w:i/>
          <w:iCs/>
          <w:lang w:val="id"/>
        </w:rPr>
        <w:t>Debt to Equity Ratio</w:t>
      </w:r>
      <w:r w:rsidRPr="00E26457">
        <w:rPr>
          <w:rFonts w:ascii="Cambria" w:eastAsia="Times New Roman" w:hAnsi="Cambria"/>
          <w:lang w:val="id"/>
        </w:rPr>
        <w:t xml:space="preserve"> Terhadap Harga Saham Pada Perusahaan Food and Baverage Yang Terdaftar di Bursa Efek Indonesia. Economics and Digital Business Review, 5(1), 432-439. Diakses dari </w:t>
      </w:r>
      <w:r w:rsidRPr="00E26457">
        <w:rPr>
          <w:rFonts w:ascii="Cambria" w:eastAsia="Times New Roman" w:hAnsi="Cambria"/>
          <w:color w:val="4472C4" w:themeColor="accent1"/>
          <w:u w:val="single"/>
          <w:lang w:val="id"/>
        </w:rPr>
        <w:t>https://scholar.google.com</w:t>
      </w:r>
    </w:p>
    <w:p w14:paraId="0080EA5E" w14:textId="15793F38" w:rsidR="00543FB3" w:rsidRPr="00E26457" w:rsidRDefault="00543FB3" w:rsidP="00F42CB5">
      <w:pPr>
        <w:spacing w:after="0" w:line="240" w:lineRule="auto"/>
        <w:ind w:left="720" w:hanging="720"/>
        <w:jc w:val="both"/>
        <w:rPr>
          <w:rFonts w:ascii="Cambria" w:eastAsia="Times New Roman" w:hAnsi="Cambria"/>
          <w:b/>
          <w:bCs/>
          <w:color w:val="4472C4" w:themeColor="accent1"/>
          <w:u w:val="single"/>
          <w:lang w:val="id"/>
        </w:rPr>
      </w:pPr>
      <w:r w:rsidRPr="00E26457">
        <w:rPr>
          <w:rFonts w:ascii="Cambria" w:eastAsia="Times New Roman" w:hAnsi="Cambria"/>
          <w:lang w:val="id"/>
        </w:rPr>
        <w:lastRenderedPageBreak/>
        <w:t xml:space="preserve">Rinati, I. (2008). Pengaruh </w:t>
      </w:r>
      <w:r w:rsidRPr="00E26457">
        <w:rPr>
          <w:rFonts w:ascii="Cambria" w:eastAsia="Times New Roman" w:hAnsi="Cambria"/>
          <w:i/>
          <w:iCs/>
          <w:lang w:val="id"/>
        </w:rPr>
        <w:t>Net Profit Margin (</w:t>
      </w:r>
      <w:r w:rsidR="00EF1C89" w:rsidRPr="00E26457">
        <w:rPr>
          <w:rFonts w:ascii="Cambria" w:eastAsia="Times New Roman" w:hAnsi="Cambria"/>
          <w:i/>
          <w:iCs/>
          <w:lang w:val="id"/>
        </w:rPr>
        <w:t>NPM</w:t>
      </w:r>
      <w:r w:rsidRPr="00E26457">
        <w:rPr>
          <w:rFonts w:ascii="Cambria" w:eastAsia="Times New Roman" w:hAnsi="Cambria"/>
          <w:i/>
          <w:iCs/>
          <w:lang w:val="id"/>
        </w:rPr>
        <w:t>), Return On Assets (</w:t>
      </w:r>
      <w:r w:rsidR="00EF1C89" w:rsidRPr="00E26457">
        <w:rPr>
          <w:rFonts w:ascii="Cambria" w:eastAsia="Times New Roman" w:hAnsi="Cambria"/>
          <w:i/>
          <w:iCs/>
          <w:lang w:val="id"/>
        </w:rPr>
        <w:t>ROA</w:t>
      </w:r>
      <w:r w:rsidRPr="00E26457">
        <w:rPr>
          <w:rFonts w:ascii="Cambria" w:eastAsia="Times New Roman" w:hAnsi="Cambria"/>
          <w:i/>
          <w:iCs/>
          <w:lang w:val="id"/>
        </w:rPr>
        <w:t>) dan Return On Equity  (</w:t>
      </w:r>
      <w:r w:rsidR="00EF1C89" w:rsidRPr="00E26457">
        <w:rPr>
          <w:rFonts w:ascii="Cambria" w:eastAsia="Times New Roman" w:hAnsi="Cambria"/>
          <w:i/>
          <w:iCs/>
          <w:lang w:val="id"/>
        </w:rPr>
        <w:t>ROE</w:t>
      </w:r>
      <w:r w:rsidRPr="00E26457">
        <w:rPr>
          <w:rFonts w:ascii="Cambria" w:eastAsia="Times New Roman" w:hAnsi="Cambria"/>
          <w:i/>
          <w:iCs/>
          <w:lang w:val="id"/>
        </w:rPr>
        <w:t>)</w:t>
      </w:r>
      <w:r w:rsidRPr="00E26457">
        <w:rPr>
          <w:rFonts w:ascii="Cambria" w:eastAsia="Times New Roman" w:hAnsi="Cambria"/>
          <w:lang w:val="id"/>
        </w:rPr>
        <w:t xml:space="preserve"> terhadap harga saham pada perusahaan yang tercantum dalam indeks LQ45. Jurnal Ekonomi dan Manajemen. Universitas Gunadarma. Diakses dari </w:t>
      </w:r>
      <w:r w:rsidRPr="00E26457">
        <w:rPr>
          <w:rFonts w:ascii="Cambria" w:eastAsia="Times New Roman" w:hAnsi="Cambria"/>
          <w:color w:val="4472C4" w:themeColor="accent1"/>
          <w:u w:val="single"/>
          <w:lang w:val="id"/>
        </w:rPr>
        <w:t>https://scholar.google.com</w:t>
      </w:r>
    </w:p>
    <w:p w14:paraId="6CABCC25" w14:textId="7AEC175F" w:rsidR="00543FB3" w:rsidRPr="00E26457" w:rsidRDefault="00543FB3" w:rsidP="00F42CB5">
      <w:pPr>
        <w:spacing w:after="0" w:line="240" w:lineRule="auto"/>
        <w:ind w:left="720" w:hanging="720"/>
        <w:jc w:val="both"/>
        <w:rPr>
          <w:rFonts w:ascii="Cambria" w:eastAsia="Times New Roman" w:hAnsi="Cambria"/>
          <w:b/>
          <w:bCs/>
          <w:color w:val="4472C4" w:themeColor="accent1"/>
          <w:u w:val="single"/>
          <w:lang w:val="id"/>
        </w:rPr>
      </w:pPr>
      <w:r w:rsidRPr="00E26457">
        <w:rPr>
          <w:rFonts w:ascii="Cambria" w:eastAsia="Times New Roman" w:hAnsi="Cambria"/>
          <w:lang w:val="id"/>
        </w:rPr>
        <w:t xml:space="preserve">Sabrina, S., &amp; Lestari P, D. (2020). PENGARUH </w:t>
      </w:r>
      <w:r w:rsidRPr="00E26457">
        <w:rPr>
          <w:rFonts w:ascii="Cambria" w:eastAsia="Times New Roman" w:hAnsi="Cambria"/>
          <w:i/>
          <w:iCs/>
          <w:lang w:val="id"/>
        </w:rPr>
        <w:t>Return On Asset (</w:t>
      </w:r>
      <w:r w:rsidR="00EF1C89" w:rsidRPr="00E26457">
        <w:rPr>
          <w:rFonts w:ascii="Cambria" w:eastAsia="Times New Roman" w:hAnsi="Cambria"/>
          <w:i/>
          <w:iCs/>
          <w:lang w:val="id"/>
        </w:rPr>
        <w:t>ROA</w:t>
      </w:r>
      <w:r w:rsidRPr="00E26457">
        <w:rPr>
          <w:rFonts w:ascii="Cambria" w:eastAsia="Times New Roman" w:hAnsi="Cambria"/>
          <w:i/>
          <w:iCs/>
          <w:lang w:val="id"/>
        </w:rPr>
        <w:t>), Return On Equity  (</w:t>
      </w:r>
      <w:r w:rsidR="00EF1C89" w:rsidRPr="00E26457">
        <w:rPr>
          <w:rFonts w:ascii="Cambria" w:eastAsia="Times New Roman" w:hAnsi="Cambria"/>
          <w:i/>
          <w:iCs/>
          <w:lang w:val="id"/>
        </w:rPr>
        <w:t>ROE</w:t>
      </w:r>
      <w:r w:rsidRPr="00E26457">
        <w:rPr>
          <w:rFonts w:ascii="Cambria" w:eastAsia="Times New Roman" w:hAnsi="Cambria"/>
          <w:i/>
          <w:iCs/>
          <w:lang w:val="id"/>
        </w:rPr>
        <w:t xml:space="preserve">) </w:t>
      </w:r>
      <w:r w:rsidRPr="00E26457">
        <w:rPr>
          <w:rFonts w:ascii="Cambria" w:eastAsia="Times New Roman" w:hAnsi="Cambria"/>
          <w:lang w:val="id"/>
        </w:rPr>
        <w:t xml:space="preserve">dan </w:t>
      </w:r>
      <w:r w:rsidRPr="00E26457">
        <w:rPr>
          <w:rFonts w:ascii="Cambria" w:eastAsia="Times New Roman" w:hAnsi="Cambria"/>
          <w:i/>
          <w:iCs/>
          <w:lang w:val="id"/>
        </w:rPr>
        <w:t>Earning Per Share (</w:t>
      </w:r>
      <w:r w:rsidR="00EF1C89" w:rsidRPr="00E26457">
        <w:rPr>
          <w:rFonts w:ascii="Cambria" w:eastAsia="Times New Roman" w:hAnsi="Cambria"/>
          <w:i/>
          <w:iCs/>
          <w:lang w:val="id"/>
        </w:rPr>
        <w:t>EPS</w:t>
      </w:r>
      <w:r w:rsidRPr="00E26457">
        <w:rPr>
          <w:rFonts w:ascii="Cambria" w:eastAsia="Times New Roman" w:hAnsi="Cambria"/>
          <w:i/>
          <w:iCs/>
          <w:lang w:val="id"/>
        </w:rPr>
        <w:t>)</w:t>
      </w:r>
      <w:r w:rsidRPr="00E26457">
        <w:rPr>
          <w:rFonts w:ascii="Cambria" w:eastAsia="Times New Roman" w:hAnsi="Cambria"/>
          <w:lang w:val="id"/>
        </w:rPr>
        <w:t xml:space="preserve"> TERHADAP HARGA SAHAM PADA PERUSAHAAN SUB SEKTOR MAKANAN DAN MINUMAN DI BURSA EFEK INDONESIA Tahun 2014-2018/18/adbis/2020 (</w:t>
      </w:r>
      <w:r w:rsidRPr="00E26457">
        <w:rPr>
          <w:rFonts w:ascii="Cambria" w:eastAsia="Times New Roman" w:hAnsi="Cambria"/>
          <w:i/>
          <w:iCs/>
          <w:lang w:val="id"/>
        </w:rPr>
        <w:t>Doctoral dissertation, Faculty of Social and Political Science).</w:t>
      </w:r>
      <w:r w:rsidRPr="00E26457">
        <w:rPr>
          <w:rFonts w:ascii="Cambria" w:eastAsia="Times New Roman" w:hAnsi="Cambria"/>
          <w:lang w:val="id"/>
        </w:rPr>
        <w:t xml:space="preserve"> Diakses dari </w:t>
      </w:r>
      <w:r w:rsidRPr="00E26457">
        <w:rPr>
          <w:rFonts w:ascii="Cambria" w:eastAsia="Times New Roman" w:hAnsi="Cambria"/>
          <w:color w:val="4472C4" w:themeColor="accent1"/>
          <w:u w:val="single"/>
          <w:lang w:val="id"/>
        </w:rPr>
        <w:t>https://scholar.google.com</w:t>
      </w:r>
    </w:p>
    <w:p w14:paraId="15C3A9E5" w14:textId="77777777" w:rsidR="00543FB3" w:rsidRPr="00E26457" w:rsidRDefault="00543FB3" w:rsidP="00F42CB5">
      <w:pPr>
        <w:spacing w:after="0" w:line="240" w:lineRule="auto"/>
        <w:ind w:left="720" w:hanging="720"/>
        <w:jc w:val="both"/>
        <w:rPr>
          <w:rFonts w:ascii="Cambria" w:eastAsia="Times New Roman" w:hAnsi="Cambria"/>
          <w:b/>
          <w:bCs/>
          <w:lang w:val="id"/>
        </w:rPr>
      </w:pPr>
      <w:r w:rsidRPr="00E26457">
        <w:rPr>
          <w:rFonts w:ascii="Cambria" w:eastAsia="Times New Roman" w:hAnsi="Cambria"/>
          <w:lang w:val="id"/>
        </w:rPr>
        <w:t>Sholekah, F. W., &amp; Venusita, L. (2014). Pengaruh kepemilikan manajerial, kepemilikan institusional, leverage, firm size dan corporate social responsibility terhadap nilai perusahaan pada perusahaan high profile yang terdaftar di Bursa Efek Indonesia periode tahun 2008-2012. Jurnal Ilmu Manajemen, 2(3), 795-807. Diakses dari https://scholar.google.com</w:t>
      </w:r>
    </w:p>
    <w:p w14:paraId="0E597E5A" w14:textId="77777777" w:rsidR="00543FB3" w:rsidRPr="00E26457" w:rsidRDefault="00543FB3" w:rsidP="00F42CB5">
      <w:pPr>
        <w:spacing w:after="0" w:line="240" w:lineRule="auto"/>
        <w:ind w:left="720" w:hanging="720"/>
        <w:jc w:val="both"/>
        <w:rPr>
          <w:rFonts w:ascii="Cambria" w:eastAsia="Times New Roman" w:hAnsi="Cambria"/>
          <w:b/>
          <w:bCs/>
          <w:u w:val="single"/>
          <w:lang w:val="id"/>
        </w:rPr>
      </w:pPr>
      <w:r w:rsidRPr="00E26457">
        <w:rPr>
          <w:rFonts w:ascii="Cambria" w:eastAsia="Times New Roman" w:hAnsi="Cambria"/>
          <w:lang w:val="id"/>
        </w:rPr>
        <w:t xml:space="preserve">Simanjuntak, D. F. (2021). Pengaruh </w:t>
      </w:r>
      <w:r w:rsidRPr="00E26457">
        <w:rPr>
          <w:rFonts w:ascii="Cambria" w:eastAsia="Times New Roman" w:hAnsi="Cambria"/>
          <w:i/>
          <w:iCs/>
          <w:lang w:val="id"/>
        </w:rPr>
        <w:t xml:space="preserve">Return On Asset, Return On Equity, Debt To Equity Ratio </w:t>
      </w:r>
      <w:r w:rsidRPr="00E26457">
        <w:rPr>
          <w:rFonts w:ascii="Cambria" w:eastAsia="Times New Roman" w:hAnsi="Cambria"/>
          <w:lang w:val="id"/>
        </w:rPr>
        <w:t xml:space="preserve">dan Ukuran Perusahaan Terhadap Harga Saham. Jurnal Kewirausahaan, Akuntansi dan Manajemen TRI BISNIS, 3(1), 45-78. Diakses dari </w:t>
      </w:r>
      <w:r w:rsidRPr="00E26457">
        <w:rPr>
          <w:rFonts w:ascii="Cambria" w:eastAsia="Times New Roman" w:hAnsi="Cambria"/>
          <w:color w:val="4472C4" w:themeColor="accent1"/>
          <w:u w:val="single"/>
          <w:lang w:val="id"/>
        </w:rPr>
        <w:t>https://scholar.google.com</w:t>
      </w:r>
    </w:p>
    <w:p w14:paraId="1A50F31A" w14:textId="77777777" w:rsidR="00543FB3" w:rsidRPr="00E26457" w:rsidRDefault="00543FB3" w:rsidP="00F42CB5">
      <w:pPr>
        <w:spacing w:after="0" w:line="240" w:lineRule="auto"/>
        <w:ind w:left="720" w:hanging="720"/>
        <w:jc w:val="both"/>
        <w:rPr>
          <w:rFonts w:ascii="Cambria" w:eastAsia="Times New Roman" w:hAnsi="Cambria"/>
          <w:b/>
          <w:bCs/>
          <w:color w:val="4472C4" w:themeColor="accent1"/>
          <w:u w:val="single"/>
          <w:lang w:val="id"/>
        </w:rPr>
      </w:pPr>
      <w:r w:rsidRPr="00E26457">
        <w:rPr>
          <w:rFonts w:ascii="Cambria" w:eastAsia="Times New Roman" w:hAnsi="Cambria"/>
          <w:lang w:val="id"/>
        </w:rPr>
        <w:t xml:space="preserve">Stephanus, D. S. (2018). Teori Keagenan </w:t>
      </w:r>
      <w:r w:rsidRPr="00E26457">
        <w:rPr>
          <w:rFonts w:ascii="Cambria" w:eastAsia="Times New Roman" w:hAnsi="Cambria"/>
          <w:i/>
          <w:iCs/>
          <w:lang w:val="id"/>
        </w:rPr>
        <w:t>(Agency Theory)</w:t>
      </w:r>
      <w:r w:rsidRPr="00E26457">
        <w:rPr>
          <w:rFonts w:ascii="Cambria" w:eastAsia="Times New Roman" w:hAnsi="Cambria"/>
          <w:lang w:val="id"/>
        </w:rPr>
        <w:t xml:space="preserve">. Fakultas Ekonomi dan bisnis. Diakses dari </w:t>
      </w:r>
      <w:r w:rsidRPr="00E26457">
        <w:rPr>
          <w:rFonts w:ascii="Cambria" w:eastAsia="Times New Roman" w:hAnsi="Cambria"/>
          <w:color w:val="4472C4" w:themeColor="accent1"/>
          <w:u w:val="single"/>
          <w:lang w:val="id"/>
        </w:rPr>
        <w:t>https://scholar.google.com</w:t>
      </w:r>
    </w:p>
    <w:p w14:paraId="2E8AECF6" w14:textId="75F55454" w:rsidR="00543FB3" w:rsidRPr="00E26457" w:rsidRDefault="00543FB3" w:rsidP="00F42CB5">
      <w:pPr>
        <w:spacing w:after="0" w:line="240" w:lineRule="auto"/>
        <w:ind w:left="720" w:hanging="720"/>
        <w:jc w:val="both"/>
        <w:rPr>
          <w:rFonts w:ascii="Cambria" w:eastAsia="Times New Roman" w:hAnsi="Cambria"/>
          <w:b/>
          <w:bCs/>
          <w:lang w:val="id"/>
        </w:rPr>
      </w:pPr>
      <w:r w:rsidRPr="00E26457">
        <w:rPr>
          <w:rFonts w:ascii="Cambria" w:eastAsia="Times New Roman" w:hAnsi="Cambria"/>
          <w:lang w:val="id"/>
        </w:rPr>
        <w:t xml:space="preserve">Thaariq, J. A., &amp; Padikromo, S. (2024). Pengaruh </w:t>
      </w:r>
      <w:r w:rsidRPr="00E26457">
        <w:rPr>
          <w:rFonts w:ascii="Cambria" w:eastAsia="Times New Roman" w:hAnsi="Cambria"/>
          <w:i/>
          <w:iCs/>
          <w:lang w:val="id"/>
        </w:rPr>
        <w:t>Return On Asset (</w:t>
      </w:r>
      <w:r w:rsidR="00EF1C89" w:rsidRPr="00E26457">
        <w:rPr>
          <w:rFonts w:ascii="Cambria" w:eastAsia="Times New Roman" w:hAnsi="Cambria"/>
          <w:i/>
          <w:iCs/>
          <w:lang w:val="id"/>
        </w:rPr>
        <w:t>ROA</w:t>
      </w:r>
      <w:r w:rsidRPr="00E26457">
        <w:rPr>
          <w:rFonts w:ascii="Cambria" w:eastAsia="Times New Roman" w:hAnsi="Cambria"/>
          <w:i/>
          <w:iCs/>
          <w:lang w:val="id"/>
        </w:rPr>
        <w:t>), Return On Equity  (</w:t>
      </w:r>
      <w:r w:rsidR="00EF1C89" w:rsidRPr="00E26457">
        <w:rPr>
          <w:rFonts w:ascii="Cambria" w:eastAsia="Times New Roman" w:hAnsi="Cambria"/>
          <w:i/>
          <w:iCs/>
          <w:lang w:val="id"/>
        </w:rPr>
        <w:t>ROE</w:t>
      </w:r>
      <w:r w:rsidRPr="00E26457">
        <w:rPr>
          <w:rFonts w:ascii="Cambria" w:eastAsia="Times New Roman" w:hAnsi="Cambria"/>
          <w:i/>
          <w:iCs/>
          <w:lang w:val="id"/>
        </w:rPr>
        <w:t xml:space="preserve">) </w:t>
      </w:r>
      <w:r w:rsidRPr="00E26457">
        <w:rPr>
          <w:rFonts w:ascii="Cambria" w:eastAsia="Times New Roman" w:hAnsi="Cambria"/>
          <w:lang w:val="id"/>
        </w:rPr>
        <w:t>Dan</w:t>
      </w:r>
      <w:r w:rsidRPr="00E26457">
        <w:rPr>
          <w:rFonts w:ascii="Cambria" w:eastAsia="Times New Roman" w:hAnsi="Cambria"/>
          <w:i/>
          <w:iCs/>
          <w:lang w:val="id"/>
        </w:rPr>
        <w:t xml:space="preserve"> Earning Per Share (</w:t>
      </w:r>
      <w:r w:rsidR="00EF1C89" w:rsidRPr="00E26457">
        <w:rPr>
          <w:rFonts w:ascii="Cambria" w:eastAsia="Times New Roman" w:hAnsi="Cambria"/>
          <w:i/>
          <w:iCs/>
          <w:lang w:val="id"/>
        </w:rPr>
        <w:t>EPS</w:t>
      </w:r>
      <w:r w:rsidRPr="00E26457">
        <w:rPr>
          <w:rFonts w:ascii="Cambria" w:eastAsia="Times New Roman" w:hAnsi="Cambria"/>
          <w:i/>
          <w:iCs/>
          <w:lang w:val="id"/>
        </w:rPr>
        <w:t>)</w:t>
      </w:r>
      <w:r w:rsidRPr="00E26457">
        <w:rPr>
          <w:rFonts w:ascii="Cambria" w:eastAsia="Times New Roman" w:hAnsi="Cambria"/>
          <w:lang w:val="id"/>
        </w:rPr>
        <w:t xml:space="preserve"> Terhadap Harga Saham Pada Perusahaan Makanan Dan Minuman Yang Terdaftar di Bursa Efek Indonesia. Jurnal Ilmiah Wahana Pendidikan, 10(1), 506-519. Diakses dari </w:t>
      </w:r>
      <w:r w:rsidRPr="00E26457">
        <w:rPr>
          <w:rFonts w:ascii="Cambria" w:eastAsia="Times New Roman" w:hAnsi="Cambria"/>
          <w:color w:val="4472C4" w:themeColor="accent1"/>
          <w:u w:val="single"/>
          <w:lang w:val="id"/>
        </w:rPr>
        <w:t>https://scholar.google.com</w:t>
      </w:r>
    </w:p>
    <w:p w14:paraId="22B15BE8" w14:textId="77777777" w:rsidR="00543FB3" w:rsidRPr="00E26457" w:rsidRDefault="00543FB3" w:rsidP="00F42CB5">
      <w:pPr>
        <w:spacing w:after="0" w:line="240" w:lineRule="auto"/>
        <w:ind w:left="720" w:hanging="720"/>
        <w:jc w:val="both"/>
        <w:rPr>
          <w:rFonts w:ascii="Cambria" w:eastAsia="Times New Roman" w:hAnsi="Cambria"/>
          <w:color w:val="4472C4" w:themeColor="accent1"/>
          <w:lang w:val="id"/>
        </w:rPr>
      </w:pPr>
      <w:r w:rsidRPr="00E26457">
        <w:rPr>
          <w:rFonts w:ascii="Cambria" w:eastAsia="Times New Roman" w:hAnsi="Cambria"/>
          <w:lang w:val="id"/>
        </w:rPr>
        <w:t xml:space="preserve">Winata, S., Selfiyan, S., Suhendra, S., &amp; Samara, A. (2023). Pengaruh </w:t>
      </w:r>
      <w:r w:rsidRPr="00E26457">
        <w:rPr>
          <w:rFonts w:ascii="Cambria" w:eastAsia="Times New Roman" w:hAnsi="Cambria"/>
          <w:i/>
          <w:iCs/>
          <w:lang w:val="id"/>
        </w:rPr>
        <w:t xml:space="preserve">Current Ratio, Return On Assets, dan Total Assets Turnover </w:t>
      </w:r>
      <w:r w:rsidRPr="00E26457">
        <w:rPr>
          <w:rFonts w:ascii="Cambria" w:eastAsia="Times New Roman" w:hAnsi="Cambria"/>
          <w:lang w:val="id"/>
        </w:rPr>
        <w:t xml:space="preserve">Terhadap Harga Saham Pada Perusahaan Makanan dan Minuman Yang Terdaftar di Bursa Efek Indonesia (BEI) Periode 2017-2021. eCo-Buss, 5(3), 1058-1069. </w:t>
      </w:r>
      <w:bookmarkStart w:id="8" w:name="_Hlk172774684"/>
      <w:r w:rsidRPr="00E26457">
        <w:rPr>
          <w:rFonts w:ascii="Cambria" w:eastAsia="Times New Roman" w:hAnsi="Cambria"/>
          <w:lang w:val="id"/>
        </w:rPr>
        <w:t xml:space="preserve">Diakses dari </w:t>
      </w:r>
      <w:hyperlink r:id="rId9" w:history="1">
        <w:r w:rsidRPr="00E26457">
          <w:rPr>
            <w:rFonts w:ascii="Cambria" w:eastAsia="Times New Roman" w:hAnsi="Cambria"/>
            <w:color w:val="4472C4" w:themeColor="accent1"/>
            <w:u w:val="single"/>
            <w:lang w:val="id"/>
          </w:rPr>
          <w:t>https://scholar.google.com</w:t>
        </w:r>
      </w:hyperlink>
    </w:p>
    <w:bookmarkEnd w:id="8"/>
    <w:p w14:paraId="1B367E7E" w14:textId="2C0CCE22" w:rsidR="00543FB3" w:rsidRPr="00E26457" w:rsidRDefault="00543FB3" w:rsidP="00F42CB5">
      <w:pPr>
        <w:spacing w:after="0" w:line="240" w:lineRule="auto"/>
        <w:ind w:left="720" w:hanging="720"/>
        <w:jc w:val="both"/>
        <w:rPr>
          <w:rFonts w:ascii="Cambria" w:eastAsia="Times New Roman" w:hAnsi="Cambria"/>
          <w:lang w:val="id"/>
        </w:rPr>
      </w:pPr>
      <w:r w:rsidRPr="00E26457">
        <w:rPr>
          <w:rFonts w:ascii="Cambria" w:hAnsi="Cambria"/>
        </w:rPr>
        <w:t>Rizal, F. (2023). Pengaruh Kebijakan Dividen, Profitabilitas, Pertumbuhan Perusahaan, dan Ukuran Perusahaan terhadap Harga Saham Perusahaan IDX30 yang terdaftar di Bursa Efek Indonesia (BEI) Periode 2019-2022 (Doctoral dissertation, Fakultas Ekonomi dan Bisnis Universitas Pakuan).</w:t>
      </w:r>
      <w:r w:rsidRPr="00E26457">
        <w:rPr>
          <w:rFonts w:ascii="Cambria" w:eastAsia="Times New Roman" w:hAnsi="Cambria"/>
          <w:lang w:val="id"/>
        </w:rPr>
        <w:t xml:space="preserve"> Diakses dari </w:t>
      </w:r>
      <w:hyperlink r:id="rId10" w:history="1">
        <w:r w:rsidRPr="00E26457">
          <w:rPr>
            <w:rFonts w:ascii="Cambria" w:eastAsia="Times New Roman" w:hAnsi="Cambria"/>
            <w:color w:val="4472C4" w:themeColor="accent1"/>
            <w:u w:val="single"/>
            <w:lang w:val="id"/>
          </w:rPr>
          <w:t>https://scholar.google.com</w:t>
        </w:r>
      </w:hyperlink>
    </w:p>
    <w:p w14:paraId="149F7494" w14:textId="77777777" w:rsidR="00543FB3" w:rsidRPr="00E26457" w:rsidRDefault="00543FB3" w:rsidP="00F42CB5">
      <w:pPr>
        <w:spacing w:after="0" w:line="240" w:lineRule="auto"/>
        <w:ind w:left="720" w:hanging="720"/>
        <w:jc w:val="both"/>
        <w:rPr>
          <w:rFonts w:ascii="Cambria" w:eastAsia="Times New Roman" w:hAnsi="Cambria"/>
          <w:lang w:val="id"/>
        </w:rPr>
      </w:pPr>
      <w:r w:rsidRPr="00E26457">
        <w:rPr>
          <w:rFonts w:ascii="Cambria" w:hAnsi="Cambria"/>
        </w:rPr>
        <w:t xml:space="preserve">Lim, C. S. P. (2024). PENGARUH </w:t>
      </w:r>
      <w:r w:rsidRPr="00E26457">
        <w:rPr>
          <w:rFonts w:ascii="Cambria" w:hAnsi="Cambria"/>
          <w:i/>
          <w:iCs/>
        </w:rPr>
        <w:t>RETURN ON ASSET</w:t>
      </w:r>
      <w:r w:rsidRPr="00E26457">
        <w:rPr>
          <w:rFonts w:ascii="Cambria" w:hAnsi="Cambria"/>
        </w:rPr>
        <w:t xml:space="preserve">, </w:t>
      </w:r>
      <w:r w:rsidRPr="00E26457">
        <w:rPr>
          <w:rFonts w:ascii="Cambria" w:hAnsi="Cambria"/>
          <w:i/>
          <w:iCs/>
        </w:rPr>
        <w:t>EARNING PER SHARE</w:t>
      </w:r>
      <w:r w:rsidRPr="00E26457">
        <w:rPr>
          <w:rFonts w:ascii="Cambria" w:hAnsi="Cambria"/>
        </w:rPr>
        <w:t xml:space="preserve">, DAN </w:t>
      </w:r>
      <w:r w:rsidRPr="00E26457">
        <w:rPr>
          <w:rFonts w:ascii="Cambria" w:hAnsi="Cambria"/>
          <w:i/>
          <w:iCs/>
        </w:rPr>
        <w:t>CURRENT RATIO</w:t>
      </w:r>
      <w:r w:rsidRPr="00E26457">
        <w:rPr>
          <w:rFonts w:ascii="Cambria" w:hAnsi="Cambria"/>
        </w:rPr>
        <w:t xml:space="preserve"> TERHADAP HARGA SAHAM PERIODE 2019-KUARTAL KEDUA TAHUN 2023. SCIENTIA JOURNAL: Jurnal Ilmiah Mahasiswa, 6(1).</w:t>
      </w:r>
      <w:r w:rsidRPr="00E26457">
        <w:rPr>
          <w:rFonts w:ascii="Cambria" w:eastAsia="Times New Roman" w:hAnsi="Cambria"/>
          <w:lang w:val="id"/>
        </w:rPr>
        <w:t xml:space="preserve"> Diakses dari </w:t>
      </w:r>
      <w:hyperlink r:id="rId11" w:history="1">
        <w:r w:rsidRPr="00E26457">
          <w:rPr>
            <w:rFonts w:ascii="Cambria" w:eastAsia="Times New Roman" w:hAnsi="Cambria"/>
            <w:color w:val="4472C4" w:themeColor="accent1"/>
            <w:u w:val="single"/>
            <w:lang w:val="id"/>
          </w:rPr>
          <w:t>https://scholar.google.com</w:t>
        </w:r>
      </w:hyperlink>
    </w:p>
    <w:p w14:paraId="44480C36" w14:textId="77777777" w:rsidR="00543FB3" w:rsidRPr="00E26457" w:rsidRDefault="00543FB3" w:rsidP="00F42CB5">
      <w:pPr>
        <w:spacing w:after="0" w:line="240" w:lineRule="auto"/>
        <w:ind w:left="720" w:hanging="720"/>
        <w:jc w:val="both"/>
        <w:rPr>
          <w:rFonts w:ascii="Cambria" w:eastAsia="Times New Roman" w:hAnsi="Cambria"/>
          <w:color w:val="4472C4" w:themeColor="accent1"/>
          <w:lang w:val="id"/>
        </w:rPr>
      </w:pPr>
      <w:r w:rsidRPr="00E26457">
        <w:rPr>
          <w:rFonts w:ascii="Cambria" w:hAnsi="Cambria"/>
        </w:rPr>
        <w:t xml:space="preserve">Pegasus, C. S., &amp; Wage, S. (2024). Pengaruh </w:t>
      </w:r>
      <w:r w:rsidRPr="00E26457">
        <w:rPr>
          <w:rFonts w:ascii="Cambria" w:hAnsi="Cambria"/>
          <w:i/>
          <w:iCs/>
        </w:rPr>
        <w:t>Return On Asset, Earning Per Share,</w:t>
      </w:r>
      <w:r w:rsidRPr="00E26457">
        <w:rPr>
          <w:rFonts w:ascii="Cambria" w:hAnsi="Cambria"/>
        </w:rPr>
        <w:t xml:space="preserve"> dan </w:t>
      </w:r>
      <w:r w:rsidRPr="00E26457">
        <w:rPr>
          <w:rFonts w:ascii="Cambria" w:hAnsi="Cambria"/>
          <w:i/>
          <w:iCs/>
        </w:rPr>
        <w:t>Current Ratio</w:t>
      </w:r>
      <w:r w:rsidRPr="00E26457">
        <w:rPr>
          <w:rFonts w:ascii="Cambria" w:hAnsi="Cambria"/>
        </w:rPr>
        <w:t xml:space="preserve"> terhadap Harga Saham Periode 2019–Kuartal Kedua Tahun 2023 (Doctoral dissertation, Prodi Manajemen).</w:t>
      </w:r>
      <w:r w:rsidRPr="00E26457">
        <w:rPr>
          <w:rFonts w:ascii="Cambria" w:eastAsia="Times New Roman" w:hAnsi="Cambria"/>
          <w:lang w:val="id"/>
        </w:rPr>
        <w:t xml:space="preserve"> Diakses dari </w:t>
      </w:r>
      <w:hyperlink r:id="rId12" w:history="1">
        <w:r w:rsidRPr="00E26457">
          <w:rPr>
            <w:rFonts w:ascii="Cambria" w:eastAsia="Times New Roman" w:hAnsi="Cambria"/>
            <w:color w:val="4472C4" w:themeColor="accent1"/>
            <w:u w:val="single"/>
            <w:lang w:val="id"/>
          </w:rPr>
          <w:t>https://scholar.google.com</w:t>
        </w:r>
      </w:hyperlink>
    </w:p>
    <w:p w14:paraId="3D9B36D3" w14:textId="7EF60989" w:rsidR="002A65FF" w:rsidRPr="00E26457" w:rsidRDefault="002A65FF" w:rsidP="00F42CB5">
      <w:pPr>
        <w:pStyle w:val="Daftarrujukanisi"/>
        <w:spacing w:before="200"/>
        <w:ind w:left="567"/>
        <w:rPr>
          <w:rFonts w:cs="Times New Roman"/>
          <w:color w:val="4472C4" w:themeColor="accent1"/>
          <w:sz w:val="22"/>
          <w:szCs w:val="22"/>
        </w:rPr>
      </w:pPr>
    </w:p>
    <w:sectPr w:rsidR="002A65FF" w:rsidRPr="00E26457" w:rsidSect="00193712">
      <w:headerReference w:type="default" r:id="rId13"/>
      <w:footerReference w:type="default" r:id="rId14"/>
      <w:headerReference w:type="first" r:id="rId15"/>
      <w:footerReference w:type="first" r:id="rId16"/>
      <w:pgSz w:w="11907" w:h="16839" w:code="9"/>
      <w:pgMar w:top="1701" w:right="1701" w:bottom="1701"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E101A" w14:textId="77777777" w:rsidR="00EB2EDD" w:rsidRPr="00F45EC8" w:rsidRDefault="00EB2EDD" w:rsidP="00F45EC8">
      <w:pPr>
        <w:pStyle w:val="Judultabeldangambar"/>
        <w:spacing w:after="0" w:line="240" w:lineRule="auto"/>
        <w:rPr>
          <w:rFonts w:ascii="Calibri" w:hAnsi="Calibri" w:cs="Times New Roman"/>
          <w:b w:val="0"/>
          <w:sz w:val="22"/>
          <w:szCs w:val="22"/>
        </w:rPr>
      </w:pPr>
      <w:r>
        <w:separator/>
      </w:r>
    </w:p>
  </w:endnote>
  <w:endnote w:type="continuationSeparator" w:id="0">
    <w:p w14:paraId="7559EF20" w14:textId="77777777" w:rsidR="00EB2EDD" w:rsidRPr="00F45EC8" w:rsidRDefault="00EB2EDD"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C08" w14:textId="0CA7F406" w:rsidR="002A65FF" w:rsidRPr="001053FB" w:rsidRDefault="00C4561C">
    <w:pPr>
      <w:pStyle w:val="Footer"/>
      <w:jc w:val="center"/>
      <w:rPr>
        <w:rFonts w:ascii="Cambria" w:hAnsi="Cambria"/>
        <w:sz w:val="20"/>
        <w:szCs w:val="20"/>
      </w:rPr>
    </w:pPr>
    <w:r w:rsidRPr="001053FB">
      <w:rPr>
        <w:rFonts w:ascii="Cambria" w:hAnsi="Cambria"/>
        <w:sz w:val="20"/>
        <w:szCs w:val="20"/>
      </w:rPr>
      <w:fldChar w:fldCharType="begin"/>
    </w:r>
    <w:r w:rsidR="00B53B77"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E26457">
      <w:rPr>
        <w:rFonts w:ascii="Cambria" w:hAnsi="Cambria"/>
        <w:noProof/>
        <w:sz w:val="20"/>
        <w:szCs w:val="20"/>
      </w:rPr>
      <w:t>8</w:t>
    </w:r>
    <w:r w:rsidRPr="001053FB">
      <w:rPr>
        <w:rFonts w:ascii="Cambria" w:hAnsi="Cambria"/>
        <w:sz w:val="20"/>
        <w:szCs w:val="20"/>
      </w:rPr>
      <w:fldChar w:fldCharType="end"/>
    </w:r>
  </w:p>
  <w:p w14:paraId="6AA16C31" w14:textId="77777777" w:rsidR="002A65FF" w:rsidRPr="001053FB" w:rsidRDefault="002A65FF">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B5B68" w14:textId="7934050B" w:rsidR="00AE7D0D" w:rsidRPr="00AE7D0D" w:rsidRDefault="00AE7D0D">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E26457">
      <w:rPr>
        <w:rFonts w:ascii="Cambria" w:hAnsi="Cambria"/>
        <w:noProof/>
        <w:sz w:val="20"/>
        <w:szCs w:val="20"/>
      </w:rPr>
      <w:t>1</w:t>
    </w:r>
    <w:r w:rsidRPr="00AE7D0D">
      <w:rPr>
        <w:rFonts w:ascii="Cambria" w:hAnsi="Cambria"/>
        <w:noProof/>
        <w:sz w:val="20"/>
        <w:szCs w:val="20"/>
      </w:rPr>
      <w:fldChar w:fldCharType="end"/>
    </w:r>
  </w:p>
  <w:p w14:paraId="5433CDC9" w14:textId="54978898" w:rsidR="00247987" w:rsidRPr="00AE7D0D" w:rsidRDefault="00247987" w:rsidP="00AE7D0D">
    <w:pPr>
      <w:pStyle w:val="Foo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368AB" w14:textId="77777777" w:rsidR="00EB2EDD" w:rsidRPr="00F45EC8" w:rsidRDefault="00EB2EDD"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035563D7" w14:textId="77777777" w:rsidR="00EB2EDD" w:rsidRPr="00F45EC8" w:rsidRDefault="00EB2EDD"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7E47" w14:textId="09C71E0B" w:rsidR="00F45EC8" w:rsidRPr="00B054EB" w:rsidRDefault="00AE7D0D" w:rsidP="00747498">
    <w:pPr>
      <w:pStyle w:val="Afiliasi"/>
      <w:rPr>
        <w:noProof/>
      </w:rPr>
    </w:pPr>
    <w:r>
      <w:rPr>
        <w:b/>
        <w:bCs/>
        <w:noProof/>
      </w:rPr>
      <w:t>Prosiding Seminar Nasional Fakultas Ekonomi dan Bisnis</w:t>
    </w:r>
    <w:r w:rsidR="009660DB" w:rsidRPr="00B054EB">
      <w:t xml:space="preserve"> xxx(xxx), xxx, 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D4CF" w14:textId="3CEBB2BE" w:rsidR="005E4B99" w:rsidRPr="00B054EB" w:rsidRDefault="00AE7D0D" w:rsidP="00AE7D0D">
    <w:pPr>
      <w:pStyle w:val="Isitabel"/>
      <w:ind w:hanging="113"/>
    </w:pPr>
    <w:r>
      <w:rPr>
        <w:noProof/>
      </w:rPr>
      <w:drawing>
        <wp:anchor distT="0" distB="0" distL="114300" distR="114300" simplePos="0" relativeHeight="251660288" behindDoc="1" locked="0" layoutInCell="1" allowOverlap="1" wp14:anchorId="41D32391" wp14:editId="101107FA">
          <wp:simplePos x="0" y="0"/>
          <wp:positionH relativeFrom="column">
            <wp:posOffset>4912995</wp:posOffset>
          </wp:positionH>
          <wp:positionV relativeFrom="paragraph">
            <wp:posOffset>-40428</wp:posOffset>
          </wp:positionV>
          <wp:extent cx="495017" cy="504825"/>
          <wp:effectExtent l="0" t="0" r="635" b="0"/>
          <wp:wrapNone/>
          <wp:docPr id="62550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1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46A">
      <w:rPr>
        <w:noProof/>
      </w:rPr>
      <mc:AlternateContent>
        <mc:Choice Requires="wps">
          <w:drawing>
            <wp:anchor distT="0" distB="0" distL="114300" distR="114300" simplePos="0" relativeHeight="251659264" behindDoc="1" locked="0" layoutInCell="1" allowOverlap="1" wp14:anchorId="2DE0259F" wp14:editId="60A9A1BA">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F600125"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" fillcolor="#d9e2f3 [660]" stroked="f" strokeweight="1pt">
              <v:fill opacity="39321f"/>
            </v:rect>
          </w:pict>
        </mc:Fallback>
      </mc:AlternateContent>
    </w:r>
    <w:r>
      <w:rPr>
        <w:noProof/>
      </w:rPr>
      <w:t>Prosiding Seminar Nasional Fakultas Ekonomi dan Bisnis</w:t>
    </w:r>
    <w:r w:rsidR="00900C55" w:rsidRPr="00B054EB">
      <w:t>, xxx(xxx), xxx, xx–</w:t>
    </w:r>
    <w:r w:rsidR="004D772A" w:rsidRPr="00B054EB">
      <w:t>xx</w:t>
    </w:r>
  </w:p>
  <w:p w14:paraId="664CE8A8" w14:textId="61714C09" w:rsidR="00900C55" w:rsidRPr="00B054EB" w:rsidRDefault="00AE7D0D" w:rsidP="00AE7D0D">
    <w:pPr>
      <w:pStyle w:val="Isitabel"/>
      <w:ind w:left="0"/>
    </w:pPr>
    <w:r>
      <w:t>e-</w:t>
    </w:r>
    <w:r w:rsidR="004D772A" w:rsidRPr="00B054EB">
      <w:t>ISSN: xxxx-xxxx</w:t>
    </w:r>
  </w:p>
  <w:p w14:paraId="2F865EC2" w14:textId="2213C1E0" w:rsidR="00900C55" w:rsidRPr="00B054EB" w:rsidRDefault="00AE7D0D" w:rsidP="00AE7D0D">
    <w:pPr>
      <w:pStyle w:val="Isitabel"/>
      <w:ind w:left="0"/>
    </w:pPr>
    <w:r>
      <w:t xml:space="preserve">Available at </w:t>
    </w:r>
    <w:r w:rsidRPr="00AE7D0D">
      <w:t>https://senafebi.budiluhur.ac.id/index.php/senafebi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D"/>
    <w:rsid w:val="00001997"/>
    <w:rsid w:val="0000344F"/>
    <w:rsid w:val="000406A4"/>
    <w:rsid w:val="00065AF6"/>
    <w:rsid w:val="00073F29"/>
    <w:rsid w:val="00074C83"/>
    <w:rsid w:val="000B5473"/>
    <w:rsid w:val="000F4CD6"/>
    <w:rsid w:val="000F5642"/>
    <w:rsid w:val="00103D16"/>
    <w:rsid w:val="001053FB"/>
    <w:rsid w:val="00114617"/>
    <w:rsid w:val="0013099E"/>
    <w:rsid w:val="001608C6"/>
    <w:rsid w:val="00162519"/>
    <w:rsid w:val="00193712"/>
    <w:rsid w:val="001A57E5"/>
    <w:rsid w:val="001C0AAF"/>
    <w:rsid w:val="001C4434"/>
    <w:rsid w:val="001C6FB4"/>
    <w:rsid w:val="001D09A4"/>
    <w:rsid w:val="001D657E"/>
    <w:rsid w:val="00203DAD"/>
    <w:rsid w:val="00206A9B"/>
    <w:rsid w:val="00232319"/>
    <w:rsid w:val="00235D45"/>
    <w:rsid w:val="00247987"/>
    <w:rsid w:val="00251E71"/>
    <w:rsid w:val="00262F48"/>
    <w:rsid w:val="002A5E45"/>
    <w:rsid w:val="002A65FF"/>
    <w:rsid w:val="002D7EF6"/>
    <w:rsid w:val="002E548C"/>
    <w:rsid w:val="002F06F4"/>
    <w:rsid w:val="002F40B7"/>
    <w:rsid w:val="002F6C9D"/>
    <w:rsid w:val="00304FF2"/>
    <w:rsid w:val="00314ECC"/>
    <w:rsid w:val="00346607"/>
    <w:rsid w:val="00391CC2"/>
    <w:rsid w:val="00397C68"/>
    <w:rsid w:val="003B23A8"/>
    <w:rsid w:val="003C2301"/>
    <w:rsid w:val="003C7239"/>
    <w:rsid w:val="003D0338"/>
    <w:rsid w:val="003E2B08"/>
    <w:rsid w:val="003F32F4"/>
    <w:rsid w:val="003F5179"/>
    <w:rsid w:val="00401237"/>
    <w:rsid w:val="00426001"/>
    <w:rsid w:val="0043755C"/>
    <w:rsid w:val="0046583F"/>
    <w:rsid w:val="004905CC"/>
    <w:rsid w:val="004B3052"/>
    <w:rsid w:val="004D772A"/>
    <w:rsid w:val="004E2BDD"/>
    <w:rsid w:val="004F75D9"/>
    <w:rsid w:val="00502FF6"/>
    <w:rsid w:val="00512541"/>
    <w:rsid w:val="00522EE4"/>
    <w:rsid w:val="00543FB3"/>
    <w:rsid w:val="00553CB8"/>
    <w:rsid w:val="005551F6"/>
    <w:rsid w:val="0058798B"/>
    <w:rsid w:val="005A22AE"/>
    <w:rsid w:val="005B1131"/>
    <w:rsid w:val="005C3550"/>
    <w:rsid w:val="005E4B99"/>
    <w:rsid w:val="005F2BBB"/>
    <w:rsid w:val="005F2D97"/>
    <w:rsid w:val="006005CE"/>
    <w:rsid w:val="0060074F"/>
    <w:rsid w:val="00610989"/>
    <w:rsid w:val="00611D6B"/>
    <w:rsid w:val="00647358"/>
    <w:rsid w:val="00650AD6"/>
    <w:rsid w:val="006631F9"/>
    <w:rsid w:val="00671E6D"/>
    <w:rsid w:val="00671EDE"/>
    <w:rsid w:val="006725F1"/>
    <w:rsid w:val="00676861"/>
    <w:rsid w:val="006B5AAF"/>
    <w:rsid w:val="006D545A"/>
    <w:rsid w:val="00725475"/>
    <w:rsid w:val="00726483"/>
    <w:rsid w:val="00737749"/>
    <w:rsid w:val="00747498"/>
    <w:rsid w:val="00752D4A"/>
    <w:rsid w:val="007564C7"/>
    <w:rsid w:val="007629F0"/>
    <w:rsid w:val="007774E1"/>
    <w:rsid w:val="0079333D"/>
    <w:rsid w:val="007A5489"/>
    <w:rsid w:val="007B36A7"/>
    <w:rsid w:val="007C49B8"/>
    <w:rsid w:val="007E55A7"/>
    <w:rsid w:val="007F41B1"/>
    <w:rsid w:val="0081497C"/>
    <w:rsid w:val="00835CBB"/>
    <w:rsid w:val="00854834"/>
    <w:rsid w:val="0085489C"/>
    <w:rsid w:val="0085678D"/>
    <w:rsid w:val="008744A4"/>
    <w:rsid w:val="00884535"/>
    <w:rsid w:val="008B2BDA"/>
    <w:rsid w:val="008B4697"/>
    <w:rsid w:val="00900C55"/>
    <w:rsid w:val="009660DB"/>
    <w:rsid w:val="009C7708"/>
    <w:rsid w:val="009E4F76"/>
    <w:rsid w:val="009F146A"/>
    <w:rsid w:val="00A0544A"/>
    <w:rsid w:val="00A177D4"/>
    <w:rsid w:val="00A32ADC"/>
    <w:rsid w:val="00A57B9A"/>
    <w:rsid w:val="00AB4628"/>
    <w:rsid w:val="00AC3FD2"/>
    <w:rsid w:val="00AE0DD5"/>
    <w:rsid w:val="00AE7D0D"/>
    <w:rsid w:val="00B054EB"/>
    <w:rsid w:val="00B241F4"/>
    <w:rsid w:val="00B3000A"/>
    <w:rsid w:val="00B53B77"/>
    <w:rsid w:val="00B55568"/>
    <w:rsid w:val="00B830E0"/>
    <w:rsid w:val="00B86803"/>
    <w:rsid w:val="00BE4DA6"/>
    <w:rsid w:val="00C2254B"/>
    <w:rsid w:val="00C4561C"/>
    <w:rsid w:val="00C45A8A"/>
    <w:rsid w:val="00C52DD9"/>
    <w:rsid w:val="00C53062"/>
    <w:rsid w:val="00C57CE3"/>
    <w:rsid w:val="00C7335D"/>
    <w:rsid w:val="00C81427"/>
    <w:rsid w:val="00C90CA9"/>
    <w:rsid w:val="00CC080E"/>
    <w:rsid w:val="00CC5785"/>
    <w:rsid w:val="00CC7FCD"/>
    <w:rsid w:val="00CD2406"/>
    <w:rsid w:val="00D1469A"/>
    <w:rsid w:val="00D15D93"/>
    <w:rsid w:val="00D46038"/>
    <w:rsid w:val="00D52BA7"/>
    <w:rsid w:val="00D54851"/>
    <w:rsid w:val="00D54E86"/>
    <w:rsid w:val="00D61902"/>
    <w:rsid w:val="00DA041B"/>
    <w:rsid w:val="00DB4D42"/>
    <w:rsid w:val="00DE2D77"/>
    <w:rsid w:val="00DE346D"/>
    <w:rsid w:val="00DE43AD"/>
    <w:rsid w:val="00E0191D"/>
    <w:rsid w:val="00E11FF3"/>
    <w:rsid w:val="00E15E36"/>
    <w:rsid w:val="00E17277"/>
    <w:rsid w:val="00E26457"/>
    <w:rsid w:val="00E908F6"/>
    <w:rsid w:val="00E92C09"/>
    <w:rsid w:val="00EA0179"/>
    <w:rsid w:val="00EB2EDD"/>
    <w:rsid w:val="00ED309A"/>
    <w:rsid w:val="00ED3A79"/>
    <w:rsid w:val="00EF0F7D"/>
    <w:rsid w:val="00EF1C89"/>
    <w:rsid w:val="00EF23E5"/>
    <w:rsid w:val="00EF565A"/>
    <w:rsid w:val="00F10D39"/>
    <w:rsid w:val="00F42CB5"/>
    <w:rsid w:val="00F45EC8"/>
    <w:rsid w:val="00F524AF"/>
    <w:rsid w:val="00F575DE"/>
    <w:rsid w:val="00F62272"/>
    <w:rsid w:val="00F6522B"/>
    <w:rsid w:val="00F82173"/>
    <w:rsid w:val="00F866FE"/>
    <w:rsid w:val="00F94CAD"/>
    <w:rsid w:val="00FB3A4C"/>
    <w:rsid w:val="00FE1411"/>
    <w:rsid w:val="00FE7CB1"/>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1D9C"/>
  <w15:docId w15:val="{D0B302AD-B933-44AB-814B-8179011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EF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basedOn w:val="Normal"/>
    <w:uiPriority w:val="34"/>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character" w:customStyle="1" w:styleId="UnresolvedMention1">
    <w:name w:val="Unresolved Mention1"/>
    <w:basedOn w:val="DefaultParagraphFont"/>
    <w:uiPriority w:val="99"/>
    <w:semiHidden/>
    <w:unhideWhenUsed/>
    <w:rsid w:val="00EA0179"/>
    <w:rPr>
      <w:color w:val="605E5C"/>
      <w:shd w:val="clear" w:color="auto" w:fill="E1DFDD"/>
    </w:rPr>
  </w:style>
  <w:style w:type="character" w:customStyle="1" w:styleId="UnresolvedMention">
    <w:name w:val="Unresolved Mention"/>
    <w:basedOn w:val="DefaultParagraphFont"/>
    <w:uiPriority w:val="99"/>
    <w:semiHidden/>
    <w:unhideWhenUsed/>
    <w:rsid w:val="003F3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32520104@student.budiluhur.ac.i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cholar.google.com" TargetMode="External"/><Relationship Id="rId4" Type="http://schemas.openxmlformats.org/officeDocument/2006/relationships/settings" Target="settings.xml"/><Relationship Id="rId9" Type="http://schemas.openxmlformats.org/officeDocument/2006/relationships/hyperlink" Target="https://scholar.google.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Artikel%20ICI\Template%20JPBPP-F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0366D-0F26-4C38-A7C4-2B5278E0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JPBPP-FIP</Template>
  <TotalTime>34</TotalTime>
  <Pages>8</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10</cp:revision>
  <cp:lastPrinted>2020-10-03T06:01:00Z</cp:lastPrinted>
  <dcterms:created xsi:type="dcterms:W3CDTF">2024-09-01T09:15:00Z</dcterms:created>
  <dcterms:modified xsi:type="dcterms:W3CDTF">2024-09-27T06:45:00Z</dcterms:modified>
</cp:coreProperties>
</file>